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4F492" w14:textId="397C70AB" w:rsidR="00DC5F1E" w:rsidRPr="00DC5F1E" w:rsidRDefault="00DC5F1E" w:rsidP="00DC5F1E">
      <w:pPr>
        <w:tabs>
          <w:tab w:val="right" w:pos="9639"/>
        </w:tabs>
        <w:spacing w:after="0" w:line="240" w:lineRule="auto"/>
        <w:rPr>
          <w:rFonts w:eastAsia="Times New Roman" w:cs="Times New Roman"/>
          <w:b/>
          <w:i/>
          <w:noProof/>
          <w:sz w:val="28"/>
          <w:szCs w:val="20"/>
          <w:lang w:val="en-GB" w:eastAsia="en-US"/>
        </w:rPr>
      </w:pPr>
      <w:bookmarkStart w:id="0" w:name="_GoBack"/>
      <w:r w:rsidRPr="00DC5F1E">
        <w:rPr>
          <w:rFonts w:eastAsia="SimSun"/>
          <w:b/>
          <w:sz w:val="24"/>
          <w:szCs w:val="24"/>
          <w:lang w:val="en-GB" w:eastAsia="x-none"/>
        </w:rPr>
        <w:t>3GPP TSG-RAN4 Meeting #92</w:t>
      </w:r>
      <w:r w:rsidRPr="00DC5F1E">
        <w:rPr>
          <w:rFonts w:eastAsia="Times New Roman" w:cs="Times New Roman"/>
          <w:b/>
          <w:i/>
          <w:noProof/>
          <w:sz w:val="28"/>
          <w:szCs w:val="20"/>
          <w:lang w:val="en-GB" w:eastAsia="en-US"/>
        </w:rPr>
        <w:tab/>
      </w:r>
      <w:r w:rsidRPr="00DC5F1E">
        <w:rPr>
          <w:rFonts w:eastAsia="SimSun"/>
          <w:b/>
          <w:i/>
          <w:sz w:val="28"/>
          <w:szCs w:val="24"/>
          <w:lang w:val="en-GB" w:eastAsia="x-none"/>
        </w:rPr>
        <w:t>R4-190</w:t>
      </w:r>
      <w:r>
        <w:rPr>
          <w:rFonts w:eastAsia="SimSun"/>
          <w:b/>
          <w:i/>
          <w:sz w:val="28"/>
          <w:szCs w:val="24"/>
          <w:lang w:val="en-GB" w:eastAsia="x-none"/>
        </w:rPr>
        <w:t>7992</w:t>
      </w:r>
    </w:p>
    <w:p w14:paraId="24B4E405" w14:textId="77777777" w:rsidR="00DC5F1E" w:rsidRDefault="00DC5F1E" w:rsidP="00DC5F1E">
      <w:pPr>
        <w:pStyle w:val="Header"/>
        <w:tabs>
          <w:tab w:val="right" w:pos="10440"/>
          <w:tab w:val="right" w:pos="13323"/>
        </w:tabs>
        <w:rPr>
          <w:rFonts w:ascii="Times New Roman" w:eastAsia="SimSun" w:hAnsi="Times New Roman" w:cs="Arial"/>
          <w:b/>
          <w:sz w:val="24"/>
          <w:szCs w:val="24"/>
          <w:lang w:val="en-GB" w:eastAsia="x-none"/>
        </w:rPr>
      </w:pPr>
      <w:r w:rsidRPr="00DC5F1E">
        <w:rPr>
          <w:rFonts w:ascii="Arial" w:eastAsia="SimSun" w:hAnsi="Arial" w:cs="Arial"/>
          <w:b/>
          <w:sz w:val="24"/>
          <w:szCs w:val="24"/>
          <w:lang w:eastAsia="x-none"/>
        </w:rPr>
        <w:t>Ljubljana, Slovenia, 26th Aug 2019 - 30th Aug 2019</w:t>
      </w:r>
      <w:bookmarkEnd w:id="0"/>
    </w:p>
    <w:p w14:paraId="066630B7" w14:textId="77777777" w:rsidR="00401DBF" w:rsidRPr="003E3000" w:rsidRDefault="00401DBF" w:rsidP="00401DBF"/>
    <w:p w14:paraId="19679162" w14:textId="530D8C59" w:rsidR="00401DBF" w:rsidRPr="00F11FC2" w:rsidRDefault="00401DBF" w:rsidP="004F21A5">
      <w:pPr>
        <w:tabs>
          <w:tab w:val="left" w:pos="1985"/>
        </w:tabs>
        <w:ind w:left="2127" w:hanging="2127"/>
        <w:rPr>
          <w:rFonts w:eastAsia="SimSun"/>
          <w:sz w:val="24"/>
          <w:szCs w:val="24"/>
        </w:rPr>
      </w:pPr>
      <w:r w:rsidRPr="00F11FC2">
        <w:rPr>
          <w:rFonts w:eastAsia="SimSun"/>
          <w:b/>
          <w:sz w:val="24"/>
          <w:szCs w:val="24"/>
        </w:rPr>
        <w:t>Agenda Item:</w:t>
      </w:r>
      <w:r w:rsidRPr="00F11FC2">
        <w:rPr>
          <w:rFonts w:eastAsia="SimSun"/>
          <w:b/>
          <w:sz w:val="24"/>
          <w:szCs w:val="24"/>
        </w:rPr>
        <w:tab/>
      </w:r>
      <w:r w:rsidRPr="00F11FC2">
        <w:rPr>
          <w:rFonts w:eastAsia="SimSun"/>
          <w:b/>
          <w:sz w:val="24"/>
          <w:szCs w:val="24"/>
        </w:rPr>
        <w:tab/>
      </w:r>
      <w:r w:rsidR="00C84DFB">
        <w:rPr>
          <w:rFonts w:eastAsia="SimSun"/>
          <w:sz w:val="24"/>
          <w:szCs w:val="24"/>
        </w:rPr>
        <w:t>6.1.3.5</w:t>
      </w:r>
    </w:p>
    <w:p w14:paraId="35411938" w14:textId="77777777" w:rsidR="00401DBF" w:rsidRPr="00F11FC2" w:rsidRDefault="00401DBF" w:rsidP="004F21A5">
      <w:pPr>
        <w:tabs>
          <w:tab w:val="left" w:pos="1985"/>
        </w:tabs>
        <w:ind w:left="2127" w:hanging="2127"/>
        <w:rPr>
          <w:rFonts w:eastAsia="SimSun"/>
          <w:sz w:val="24"/>
          <w:szCs w:val="24"/>
        </w:rPr>
      </w:pPr>
      <w:r w:rsidRPr="00F11FC2">
        <w:rPr>
          <w:rFonts w:eastAsia="SimSun"/>
          <w:b/>
          <w:sz w:val="24"/>
          <w:szCs w:val="24"/>
        </w:rPr>
        <w:t xml:space="preserve">Source: </w:t>
      </w:r>
      <w:r w:rsidRPr="00F11FC2">
        <w:rPr>
          <w:rFonts w:eastAsia="SimSun"/>
          <w:b/>
          <w:sz w:val="24"/>
          <w:szCs w:val="24"/>
        </w:rPr>
        <w:tab/>
      </w:r>
      <w:r w:rsidRPr="00F11FC2">
        <w:rPr>
          <w:rFonts w:eastAsia="SimSun"/>
          <w:b/>
          <w:sz w:val="24"/>
          <w:szCs w:val="24"/>
        </w:rPr>
        <w:tab/>
      </w:r>
      <w:r w:rsidRPr="00F11FC2">
        <w:rPr>
          <w:rFonts w:eastAsia="SimSun"/>
          <w:sz w:val="24"/>
          <w:szCs w:val="24"/>
        </w:rPr>
        <w:t>Rohde &amp; Schwarz</w:t>
      </w:r>
    </w:p>
    <w:p w14:paraId="1D71512A" w14:textId="6C7924DA" w:rsidR="00401DBF" w:rsidRPr="00F11FC2" w:rsidRDefault="00401DBF" w:rsidP="004F21A5">
      <w:pPr>
        <w:tabs>
          <w:tab w:val="left" w:pos="1985"/>
        </w:tabs>
        <w:ind w:left="2127" w:hanging="2127"/>
        <w:rPr>
          <w:rFonts w:eastAsia="SimSun"/>
          <w:b/>
          <w:sz w:val="24"/>
          <w:szCs w:val="24"/>
        </w:rPr>
      </w:pPr>
      <w:r w:rsidRPr="00F11FC2">
        <w:rPr>
          <w:rFonts w:eastAsia="SimSun"/>
          <w:b/>
          <w:sz w:val="24"/>
          <w:szCs w:val="24"/>
        </w:rPr>
        <w:t xml:space="preserve">Title: </w:t>
      </w:r>
      <w:r w:rsidRPr="00F11FC2">
        <w:rPr>
          <w:rFonts w:eastAsia="SimSun"/>
          <w:b/>
          <w:sz w:val="24"/>
          <w:szCs w:val="24"/>
        </w:rPr>
        <w:tab/>
      </w:r>
      <w:r w:rsidRPr="00F11FC2">
        <w:rPr>
          <w:rFonts w:eastAsia="SimSun"/>
          <w:b/>
          <w:sz w:val="24"/>
          <w:szCs w:val="24"/>
        </w:rPr>
        <w:tab/>
      </w:r>
      <w:r w:rsidR="006C16F1" w:rsidRPr="00C56DEE">
        <w:rPr>
          <w:sz w:val="24"/>
          <w:szCs w:val="24"/>
        </w:rPr>
        <w:t xml:space="preserve">2D Compact Range for BS Testing – </w:t>
      </w:r>
      <w:r w:rsidR="004F21A5" w:rsidRPr="00C56DEE">
        <w:rPr>
          <w:sz w:val="24"/>
          <w:szCs w:val="24"/>
        </w:rPr>
        <w:t xml:space="preserve">Calibration and Measurement </w:t>
      </w:r>
      <w:r w:rsidR="006B2743" w:rsidRPr="00C56DEE">
        <w:rPr>
          <w:sz w:val="24"/>
          <w:szCs w:val="24"/>
        </w:rPr>
        <w:t>Procedure</w:t>
      </w:r>
    </w:p>
    <w:p w14:paraId="1F43673D" w14:textId="46BA800F" w:rsidR="00401DBF" w:rsidRPr="00F11FC2" w:rsidRDefault="004F21A5" w:rsidP="004F21A5">
      <w:pPr>
        <w:tabs>
          <w:tab w:val="left" w:pos="1985"/>
        </w:tabs>
        <w:ind w:left="2127" w:hanging="2127"/>
        <w:rPr>
          <w:rFonts w:eastAsia="SimSun"/>
          <w:b/>
          <w:sz w:val="24"/>
          <w:szCs w:val="24"/>
        </w:rPr>
      </w:pPr>
      <w:r w:rsidRPr="00F11FC2">
        <w:rPr>
          <w:rFonts w:eastAsia="SimSun"/>
          <w:b/>
          <w:sz w:val="24"/>
          <w:szCs w:val="24"/>
        </w:rPr>
        <w:t>Document for:</w:t>
      </w:r>
      <w:r w:rsidR="00F11FC2" w:rsidRPr="00F11FC2">
        <w:rPr>
          <w:rFonts w:eastAsia="SimSun"/>
          <w:b/>
          <w:sz w:val="24"/>
          <w:szCs w:val="24"/>
        </w:rPr>
        <w:tab/>
      </w:r>
      <w:r w:rsidR="00F11FC2" w:rsidRPr="00F11FC2">
        <w:rPr>
          <w:rFonts w:eastAsia="SimSun"/>
          <w:b/>
          <w:sz w:val="24"/>
          <w:szCs w:val="24"/>
        </w:rPr>
        <w:tab/>
      </w:r>
      <w:r w:rsidR="00401DBF" w:rsidRPr="00F11FC2">
        <w:rPr>
          <w:rFonts w:eastAsia="SimSun"/>
          <w:sz w:val="24"/>
          <w:szCs w:val="24"/>
        </w:rPr>
        <w:t>Approval</w:t>
      </w:r>
    </w:p>
    <w:p w14:paraId="77DC64BA" w14:textId="77777777" w:rsidR="00B81FC7" w:rsidRPr="003E3000" w:rsidRDefault="00B81FC7" w:rsidP="00B81FC7">
      <w:pPr>
        <w:pStyle w:val="Heading1"/>
        <w:rPr>
          <w:rFonts w:cs="Arial"/>
          <w:szCs w:val="28"/>
          <w:lang w:val="en-US"/>
        </w:rPr>
      </w:pPr>
      <w:r w:rsidRPr="003E3000">
        <w:rPr>
          <w:rFonts w:cs="Arial"/>
          <w:szCs w:val="28"/>
          <w:lang w:val="en-US"/>
        </w:rPr>
        <w:t>Introduction</w:t>
      </w:r>
    </w:p>
    <w:p w14:paraId="5D111E0B" w14:textId="60618515" w:rsidR="009D1E8F" w:rsidRPr="003E3000" w:rsidRDefault="006C16F1" w:rsidP="00A80346">
      <w:pPr>
        <w:jc w:val="both"/>
      </w:pPr>
      <w:r w:rsidRPr="003E3000">
        <w:t xml:space="preserve">This contribution </w:t>
      </w:r>
      <w:r w:rsidR="00A80346" w:rsidRPr="003E3000">
        <w:t>provides an extended description of the 2D Compact Range system presented in</w:t>
      </w:r>
      <w:r w:rsidR="00C56DEE">
        <w:t xml:space="preserve"> </w:t>
      </w:r>
      <w:r w:rsidR="00C56DEE">
        <w:fldChar w:fldCharType="begin"/>
      </w:r>
      <w:r w:rsidR="00C56DEE">
        <w:instrText xml:space="preserve"> REF _Ref16672116 \r \h </w:instrText>
      </w:r>
      <w:r w:rsidR="00C56DEE">
        <w:fldChar w:fldCharType="separate"/>
      </w:r>
      <w:r w:rsidR="00C56DEE">
        <w:t>[1]</w:t>
      </w:r>
      <w:r w:rsidR="00C56DEE">
        <w:fldChar w:fldCharType="end"/>
      </w:r>
      <w:r w:rsidR="00A80346" w:rsidRPr="003E3000">
        <w:t xml:space="preserve"> as a natural extension of a compact antenna test range (CATR) and describes the calibration and measurements setups used in the Measurement Uncertainty budget detailed in</w:t>
      </w:r>
      <w:r w:rsidR="00C56DEE">
        <w:t xml:space="preserve"> </w:t>
      </w:r>
      <w:r w:rsidR="00C56DEE">
        <w:fldChar w:fldCharType="begin"/>
      </w:r>
      <w:r w:rsidR="00C56DEE">
        <w:instrText xml:space="preserve"> REF _Ref16672129 \r \h </w:instrText>
      </w:r>
      <w:r w:rsidR="00C56DEE">
        <w:fldChar w:fldCharType="separate"/>
      </w:r>
      <w:r w:rsidR="00C56DEE">
        <w:t>[2]</w:t>
      </w:r>
      <w:r w:rsidR="00C56DEE">
        <w:fldChar w:fldCharType="end"/>
      </w:r>
      <w:r w:rsidR="00A80346" w:rsidRPr="003E3000">
        <w:t>.</w:t>
      </w:r>
    </w:p>
    <w:p w14:paraId="74BA6A2E" w14:textId="794E0F7D" w:rsidR="00031097" w:rsidRPr="003E3000" w:rsidRDefault="00A80346" w:rsidP="00031097">
      <w:pPr>
        <w:pStyle w:val="Heading1"/>
        <w:rPr>
          <w:rFonts w:cs="Arial"/>
          <w:lang w:val="en-US"/>
        </w:rPr>
      </w:pPr>
      <w:bookmarkStart w:id="1" w:name="OLE_LINK10"/>
      <w:bookmarkStart w:id="2" w:name="OLE_LINK11"/>
      <w:r w:rsidRPr="003E3000">
        <w:rPr>
          <w:rFonts w:cs="Arial"/>
          <w:lang w:val="en-US"/>
        </w:rPr>
        <w:t>Background</w:t>
      </w:r>
    </w:p>
    <w:p w14:paraId="76EFC07C" w14:textId="0B37AF7D" w:rsidR="00FA4DC7" w:rsidRPr="003E3000" w:rsidRDefault="00A80346" w:rsidP="00A80346">
      <w:pPr>
        <w:pStyle w:val="Heading7"/>
        <w:numPr>
          <w:ilvl w:val="0"/>
          <w:numId w:val="0"/>
        </w:numPr>
        <w:jc w:val="both"/>
        <w:rPr>
          <w:sz w:val="22"/>
          <w:szCs w:val="22"/>
          <w:lang w:val="en-US"/>
        </w:rPr>
      </w:pPr>
      <w:r w:rsidRPr="003E3000">
        <w:rPr>
          <w:sz w:val="22"/>
          <w:szCs w:val="22"/>
          <w:lang w:val="en-US"/>
        </w:rPr>
        <w:t>As already described in</w:t>
      </w:r>
      <w:r w:rsidR="00C56DEE">
        <w:rPr>
          <w:sz w:val="22"/>
          <w:szCs w:val="22"/>
          <w:lang w:val="en-US"/>
        </w:rPr>
        <w:t xml:space="preserve"> </w:t>
      </w:r>
      <w:r w:rsidR="00C56DEE">
        <w:rPr>
          <w:sz w:val="22"/>
          <w:szCs w:val="22"/>
          <w:lang w:val="en-US"/>
        </w:rPr>
        <w:fldChar w:fldCharType="begin"/>
      </w:r>
      <w:r w:rsidR="00C56DEE">
        <w:rPr>
          <w:sz w:val="22"/>
          <w:szCs w:val="22"/>
          <w:lang w:val="en-US"/>
        </w:rPr>
        <w:instrText xml:space="preserve"> REF _Ref16672116 \r \h </w:instrText>
      </w:r>
      <w:r w:rsidR="00C56DEE">
        <w:rPr>
          <w:sz w:val="22"/>
          <w:szCs w:val="22"/>
          <w:lang w:val="en-US"/>
        </w:rPr>
      </w:r>
      <w:r w:rsidR="00C56DEE">
        <w:rPr>
          <w:sz w:val="22"/>
          <w:szCs w:val="22"/>
          <w:lang w:val="en-US"/>
        </w:rPr>
        <w:fldChar w:fldCharType="separate"/>
      </w:r>
      <w:r w:rsidR="00C56DEE">
        <w:rPr>
          <w:sz w:val="22"/>
          <w:szCs w:val="22"/>
          <w:lang w:val="en-US"/>
        </w:rPr>
        <w:t>[1]</w:t>
      </w:r>
      <w:r w:rsidR="00C56DEE">
        <w:rPr>
          <w:sz w:val="22"/>
          <w:szCs w:val="22"/>
          <w:lang w:val="en-US"/>
        </w:rPr>
        <w:fldChar w:fldCharType="end"/>
      </w:r>
      <w:r w:rsidRPr="003E3000">
        <w:rPr>
          <w:sz w:val="22"/>
          <w:szCs w:val="22"/>
          <w:lang w:val="en-US"/>
        </w:rPr>
        <w:t xml:space="preserve">, this holographic technique for OTA measurements replaces the CATR reflector by a Plane Wave Converter (PWC) to </w:t>
      </w:r>
      <w:r w:rsidR="00D97C66" w:rsidRPr="003E3000">
        <w:rPr>
          <w:sz w:val="22"/>
          <w:szCs w:val="22"/>
          <w:lang w:val="en-US"/>
        </w:rPr>
        <w:t>form a plane wave distribution by means of a bi-directional antenna array.</w:t>
      </w:r>
    </w:p>
    <w:p w14:paraId="23EB46A2" w14:textId="3B54AE7E" w:rsidR="00677DE2" w:rsidRPr="003E3000" w:rsidRDefault="00D97C66" w:rsidP="00D97C66">
      <w:pPr>
        <w:jc w:val="center"/>
        <w:rPr>
          <w:lang w:eastAsia="en-US"/>
        </w:rPr>
      </w:pPr>
      <w:r w:rsidRPr="003E3000">
        <w:rPr>
          <w:noProof/>
          <w:lang w:eastAsia="en-US"/>
        </w:rPr>
        <w:drawing>
          <wp:inline distT="0" distB="0" distL="0" distR="0" wp14:anchorId="6370759D" wp14:editId="34C75CCB">
            <wp:extent cx="4735019"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5019" cy="2160000"/>
                    </a:xfrm>
                    <a:prstGeom prst="rect">
                      <a:avLst/>
                    </a:prstGeom>
                    <a:noFill/>
                  </pic:spPr>
                </pic:pic>
              </a:graphicData>
            </a:graphic>
          </wp:inline>
        </w:drawing>
      </w:r>
    </w:p>
    <w:p w14:paraId="30324BD6" w14:textId="5C2E0D5F" w:rsidR="00D97C66" w:rsidRPr="00D97C66" w:rsidRDefault="00D97C66" w:rsidP="00D97C66">
      <w:pPr>
        <w:spacing w:before="60" w:after="0" w:line="240" w:lineRule="auto"/>
        <w:jc w:val="center"/>
        <w:rPr>
          <w:rFonts w:eastAsia="Calibri" w:cs="Times New Roman"/>
          <w:b/>
          <w:bCs/>
          <w:sz w:val="18"/>
          <w:szCs w:val="18"/>
          <w:lang w:eastAsia="en-US"/>
        </w:rPr>
      </w:pPr>
      <w:r w:rsidRPr="00D97C66">
        <w:rPr>
          <w:rFonts w:eastAsia="Calibri" w:cs="Times New Roman"/>
          <w:b/>
          <w:bCs/>
          <w:sz w:val="18"/>
          <w:szCs w:val="18"/>
          <w:lang w:eastAsia="en-US"/>
        </w:rPr>
        <w:t>Figure 2</w:t>
      </w:r>
      <w:r w:rsidRPr="00D97C66">
        <w:rPr>
          <w:rFonts w:eastAsia="Calibri" w:cs="Times New Roman"/>
          <w:b/>
          <w:bCs/>
          <w:sz w:val="18"/>
          <w:szCs w:val="18"/>
          <w:lang w:eastAsia="en-US"/>
        </w:rPr>
        <w:noBreakHyphen/>
        <w:t>1</w:t>
      </w:r>
      <w:r w:rsidR="00482D73">
        <w:rPr>
          <w:rFonts w:eastAsia="Calibri" w:cs="Times New Roman"/>
          <w:b/>
          <w:bCs/>
          <w:sz w:val="18"/>
          <w:szCs w:val="18"/>
          <w:lang w:eastAsia="en-US"/>
        </w:rPr>
        <w:t>:</w:t>
      </w:r>
      <w:r w:rsidRPr="00D97C66">
        <w:rPr>
          <w:rFonts w:eastAsia="Calibri" w:cs="Times New Roman"/>
          <w:b/>
          <w:bCs/>
          <w:sz w:val="18"/>
          <w:szCs w:val="18"/>
          <w:lang w:eastAsia="en-US"/>
        </w:rPr>
        <w:t xml:space="preserve"> </w:t>
      </w:r>
      <w:r w:rsidRPr="003E3000">
        <w:rPr>
          <w:rFonts w:eastAsia="Calibri" w:cs="Times New Roman"/>
          <w:b/>
          <w:bCs/>
          <w:sz w:val="18"/>
          <w:szCs w:val="18"/>
          <w:lang w:eastAsia="en-US"/>
        </w:rPr>
        <w:t>2D Compact Range test system diagram</w:t>
      </w:r>
    </w:p>
    <w:p w14:paraId="75B38932" w14:textId="5F840DBA" w:rsidR="00231DCF" w:rsidRPr="003E3000" w:rsidRDefault="00231DCF" w:rsidP="00A80346">
      <w:pPr>
        <w:jc w:val="both"/>
      </w:pPr>
    </w:p>
    <w:p w14:paraId="680F8EA8" w14:textId="4F819966" w:rsidR="00231DCF" w:rsidRPr="003E3000" w:rsidRDefault="00231DCF" w:rsidP="00A80346">
      <w:pPr>
        <w:jc w:val="both"/>
      </w:pPr>
      <w:r w:rsidRPr="003E3000">
        <w:t>In order to synthesize plane wave field in the quiet zone, the PWC setting has to be found that defines the programmable configuration of RF components for each antenna path in the PWC antenna array</w:t>
      </w:r>
      <w:r w:rsidR="00FC0201" w:rsidRPr="003E3000">
        <w:t xml:space="preserve">, and </w:t>
      </w:r>
      <w:r w:rsidRPr="003E3000">
        <w:t xml:space="preserve">depends on the test distance, QZ diameter, test frequency and power mode. The PWC setting is found within two stage process: field simulation and field calibration. The later includes a transfer function measurement between the PWC and a </w:t>
      </w:r>
      <w:r w:rsidR="00FC0201" w:rsidRPr="003E3000">
        <w:t xml:space="preserve">calibration </w:t>
      </w:r>
      <w:r w:rsidRPr="003E3000">
        <w:t xml:space="preserve">antenna. </w:t>
      </w:r>
    </w:p>
    <w:p w14:paraId="6CC154DE" w14:textId="4ACBCA35" w:rsidR="009D1E8F" w:rsidRPr="003E3000" w:rsidRDefault="00231DCF" w:rsidP="009B0820">
      <w:pPr>
        <w:pStyle w:val="Heading1"/>
        <w:rPr>
          <w:lang w:val="en-US"/>
        </w:rPr>
      </w:pPr>
      <w:r w:rsidRPr="003E3000">
        <w:rPr>
          <w:lang w:val="en-US"/>
        </w:rPr>
        <w:lastRenderedPageBreak/>
        <w:t>Path Loss Calibration</w:t>
      </w:r>
    </w:p>
    <w:p w14:paraId="02A03E2F" w14:textId="2197FB95" w:rsidR="00827517" w:rsidRPr="003E3000" w:rsidRDefault="00231DCF" w:rsidP="003E3000">
      <w:pPr>
        <w:jc w:val="both"/>
        <w:rPr>
          <w:lang w:eastAsia="en-US"/>
        </w:rPr>
      </w:pPr>
      <w:r w:rsidRPr="003E3000">
        <w:rPr>
          <w:lang w:eastAsia="en-US"/>
        </w:rPr>
        <w:t xml:space="preserve">After the PWC setting is </w:t>
      </w:r>
      <w:r w:rsidR="009E11C9" w:rsidRPr="003E3000">
        <w:rPr>
          <w:lang w:eastAsia="en-US"/>
        </w:rPr>
        <w:t>finished</w:t>
      </w:r>
      <w:r w:rsidR="00FC0201" w:rsidRPr="003E3000">
        <w:rPr>
          <w:lang w:eastAsia="en-US"/>
        </w:rPr>
        <w:t>, a typical range path loss calibration is performed to obtain the</w:t>
      </w:r>
      <w:r w:rsidR="00827517" w:rsidRPr="003E3000">
        <w:rPr>
          <w:lang w:eastAsia="en-US"/>
        </w:rPr>
        <w:t xml:space="preserve"> correction factor per frequency to be used during testing. In order to do so, the following </w:t>
      </w:r>
      <w:r w:rsidR="003E3000">
        <w:rPr>
          <w:lang w:eastAsia="en-US"/>
        </w:rPr>
        <w:t xml:space="preserve">path loss calibration </w:t>
      </w:r>
      <w:r w:rsidR="00827517" w:rsidRPr="003E3000">
        <w:rPr>
          <w:lang w:eastAsia="en-US"/>
        </w:rPr>
        <w:t>procedure</w:t>
      </w:r>
      <w:r w:rsidR="003E3000" w:rsidRPr="003E3000">
        <w:rPr>
          <w:lang w:eastAsia="en-US"/>
        </w:rPr>
        <w:t>s</w:t>
      </w:r>
      <w:r w:rsidR="00827517" w:rsidRPr="003E3000">
        <w:rPr>
          <w:lang w:eastAsia="en-US"/>
        </w:rPr>
        <w:t xml:space="preserve"> </w:t>
      </w:r>
      <w:r w:rsidR="003E3000" w:rsidRPr="003E3000">
        <w:rPr>
          <w:lang w:eastAsia="en-US"/>
        </w:rPr>
        <w:t>are used.</w:t>
      </w:r>
    </w:p>
    <w:p w14:paraId="537B1424" w14:textId="4F111FCE" w:rsidR="003E3000" w:rsidRPr="003E3000" w:rsidRDefault="003E3000" w:rsidP="003E3000">
      <w:pPr>
        <w:pStyle w:val="Heading2"/>
        <w:rPr>
          <w:lang w:val="en-US"/>
        </w:rPr>
      </w:pPr>
      <w:r w:rsidRPr="003E3000">
        <w:rPr>
          <w:lang w:val="en-US"/>
        </w:rPr>
        <w:t>Tx path loss calibration</w:t>
      </w:r>
    </w:p>
    <w:p w14:paraId="5EFDF53B" w14:textId="53CB4166" w:rsidR="003E3000" w:rsidRDefault="003E3000" w:rsidP="006050DF">
      <w:pPr>
        <w:jc w:val="both"/>
        <w:rPr>
          <w:lang w:eastAsia="en-US"/>
        </w:rPr>
      </w:pPr>
      <w:r>
        <w:rPr>
          <w:lang w:eastAsia="en-US"/>
        </w:rPr>
        <w:t>In order to minimize the</w:t>
      </w:r>
      <w:r w:rsidR="006050DF">
        <w:rPr>
          <w:lang w:eastAsia="en-US"/>
        </w:rPr>
        <w:t xml:space="preserve"> measurement uncertainty due to the receiver/transmitter absolute accuracy, a relative measurement approach is used (as described in section G.4 in</w:t>
      </w:r>
      <w:r w:rsidR="00C56DEE">
        <w:rPr>
          <w:lang w:eastAsia="en-US"/>
        </w:rPr>
        <w:t xml:space="preserve"> </w:t>
      </w:r>
      <w:r w:rsidR="00C56DEE">
        <w:rPr>
          <w:lang w:eastAsia="en-US"/>
        </w:rPr>
        <w:fldChar w:fldCharType="begin"/>
      </w:r>
      <w:r w:rsidR="00C56DEE">
        <w:rPr>
          <w:lang w:eastAsia="en-US"/>
        </w:rPr>
        <w:instrText xml:space="preserve"> REF _Ref16672157 \r \h </w:instrText>
      </w:r>
      <w:r w:rsidR="00C56DEE">
        <w:rPr>
          <w:lang w:eastAsia="en-US"/>
        </w:rPr>
      </w:r>
      <w:r w:rsidR="00C56DEE">
        <w:rPr>
          <w:lang w:eastAsia="en-US"/>
        </w:rPr>
        <w:fldChar w:fldCharType="separate"/>
      </w:r>
      <w:r w:rsidR="00C56DEE">
        <w:rPr>
          <w:lang w:eastAsia="en-US"/>
        </w:rPr>
        <w:t>[6]</w:t>
      </w:r>
      <w:r w:rsidR="00C56DEE">
        <w:rPr>
          <w:lang w:eastAsia="en-US"/>
        </w:rPr>
        <w:fldChar w:fldCharType="end"/>
      </w:r>
      <w:r w:rsidR="006050DF">
        <w:rPr>
          <w:lang w:eastAsia="en-US"/>
        </w:rPr>
        <w:t>). Further details on how the MU is calculated is provided in</w:t>
      </w:r>
      <w:r w:rsidR="00C56DEE">
        <w:rPr>
          <w:lang w:eastAsia="en-US"/>
        </w:rPr>
        <w:t xml:space="preserve"> </w:t>
      </w:r>
      <w:r w:rsidR="00C56DEE">
        <w:rPr>
          <w:lang w:eastAsia="en-US"/>
        </w:rPr>
        <w:fldChar w:fldCharType="begin"/>
      </w:r>
      <w:r w:rsidR="00C56DEE">
        <w:rPr>
          <w:lang w:eastAsia="en-US"/>
        </w:rPr>
        <w:instrText xml:space="preserve"> REF _Ref16672129 \r \h </w:instrText>
      </w:r>
      <w:r w:rsidR="00C56DEE">
        <w:rPr>
          <w:lang w:eastAsia="en-US"/>
        </w:rPr>
      </w:r>
      <w:r w:rsidR="00C56DEE">
        <w:rPr>
          <w:lang w:eastAsia="en-US"/>
        </w:rPr>
        <w:fldChar w:fldCharType="separate"/>
      </w:r>
      <w:r w:rsidR="00C56DEE">
        <w:rPr>
          <w:lang w:eastAsia="en-US"/>
        </w:rPr>
        <w:t>[2]</w:t>
      </w:r>
      <w:r w:rsidR="00C56DEE">
        <w:rPr>
          <w:lang w:eastAsia="en-US"/>
        </w:rPr>
        <w:fldChar w:fldCharType="end"/>
      </w:r>
      <w:r w:rsidR="006050DF">
        <w:rPr>
          <w:lang w:eastAsia="en-US"/>
        </w:rPr>
        <w:t>.</w:t>
      </w:r>
    </w:p>
    <w:p w14:paraId="03F9C8AA" w14:textId="4D994A1C" w:rsidR="006050DF" w:rsidRPr="003E3000" w:rsidRDefault="006050DF" w:rsidP="006050DF">
      <w:pPr>
        <w:jc w:val="both"/>
        <w:rPr>
          <w:lang w:eastAsia="en-US"/>
        </w:rPr>
      </w:pPr>
      <w:r>
        <w:rPr>
          <w:lang w:eastAsia="en-US"/>
        </w:rPr>
        <w:t>The step-by-step procedure is as follows:</w:t>
      </w:r>
    </w:p>
    <w:p w14:paraId="24B85509" w14:textId="54F2B5DA" w:rsidR="003E3000" w:rsidRDefault="006050DF" w:rsidP="003E3000">
      <w:pPr>
        <w:pStyle w:val="ListParagraph"/>
        <w:numPr>
          <w:ilvl w:val="0"/>
          <w:numId w:val="11"/>
        </w:numPr>
        <w:rPr>
          <w:lang w:val="en-US"/>
        </w:rPr>
      </w:pPr>
      <w:r>
        <w:rPr>
          <w:lang w:val="en-US"/>
        </w:rPr>
        <w:t>Connect t</w:t>
      </w:r>
      <w:r w:rsidR="003E3000" w:rsidRPr="003E3000">
        <w:rPr>
          <w:lang w:val="en-US"/>
        </w:rPr>
        <w:t>he reference receiver</w:t>
      </w:r>
      <w:r>
        <w:rPr>
          <w:lang w:val="en-US"/>
        </w:rPr>
        <w:t xml:space="preserve"> </w:t>
      </w:r>
      <w:r w:rsidR="003E3000" w:rsidRPr="003E3000">
        <w:rPr>
          <w:lang w:val="en-US"/>
        </w:rPr>
        <w:t xml:space="preserve">to the RF output port of the signal generator, as shown in </w:t>
      </w:r>
      <w:r>
        <w:rPr>
          <w:lang w:val="en-US"/>
        </w:rPr>
        <w:t>figure 3.1-1, u</w:t>
      </w:r>
      <w:r w:rsidR="003E3000" w:rsidRPr="003E3000">
        <w:rPr>
          <w:lang w:val="en-US"/>
        </w:rPr>
        <w:t>s</w:t>
      </w:r>
      <w:r>
        <w:rPr>
          <w:lang w:val="en-US"/>
        </w:rPr>
        <w:t xml:space="preserve">ing a reference cable and a </w:t>
      </w:r>
      <w:r w:rsidR="003E3000" w:rsidRPr="003E3000">
        <w:rPr>
          <w:lang w:val="en-US"/>
        </w:rPr>
        <w:t>matching attenuator.</w:t>
      </w:r>
    </w:p>
    <w:p w14:paraId="49A73A18" w14:textId="1D33740F" w:rsidR="006050DF" w:rsidRDefault="006050DF" w:rsidP="006050DF">
      <w:pPr>
        <w:ind w:left="360"/>
        <w:jc w:val="center"/>
      </w:pPr>
      <w:r>
        <w:rPr>
          <w:noProof/>
          <w:lang w:eastAsia="en-US"/>
        </w:rPr>
        <w:drawing>
          <wp:inline distT="0" distB="0" distL="0" distR="0" wp14:anchorId="37824416" wp14:editId="49141E90">
            <wp:extent cx="4888852" cy="21600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p>
    <w:p w14:paraId="68576B48" w14:textId="45BB248E" w:rsidR="006050DF" w:rsidRPr="00D97C66" w:rsidRDefault="006050DF" w:rsidP="006050DF">
      <w:pPr>
        <w:spacing w:before="60" w:after="0" w:line="240" w:lineRule="auto"/>
        <w:jc w:val="center"/>
        <w:rPr>
          <w:rFonts w:eastAsia="Calibri" w:cs="Times New Roman"/>
          <w:b/>
          <w:bCs/>
          <w:sz w:val="18"/>
          <w:szCs w:val="18"/>
          <w:lang w:eastAsia="en-US"/>
        </w:rPr>
      </w:pPr>
      <w:r w:rsidRPr="00D97C66">
        <w:rPr>
          <w:rFonts w:eastAsia="Calibri" w:cs="Times New Roman"/>
          <w:b/>
          <w:bCs/>
          <w:sz w:val="18"/>
          <w:szCs w:val="18"/>
          <w:lang w:eastAsia="en-US"/>
        </w:rPr>
        <w:t xml:space="preserve">Figure </w:t>
      </w:r>
      <w:r>
        <w:rPr>
          <w:rFonts w:eastAsia="Calibri" w:cs="Times New Roman"/>
          <w:b/>
          <w:bCs/>
          <w:sz w:val="18"/>
          <w:szCs w:val="18"/>
          <w:lang w:eastAsia="en-US"/>
        </w:rPr>
        <w:t>3.1</w:t>
      </w:r>
      <w:r w:rsidRPr="00D97C66">
        <w:rPr>
          <w:rFonts w:eastAsia="Calibri" w:cs="Times New Roman"/>
          <w:b/>
          <w:bCs/>
          <w:sz w:val="18"/>
          <w:szCs w:val="18"/>
          <w:lang w:eastAsia="en-US"/>
        </w:rPr>
        <w:noBreakHyphen/>
        <w:t>1</w:t>
      </w:r>
      <w:r w:rsidR="00482D73">
        <w:rPr>
          <w:rFonts w:eastAsia="Calibri" w:cs="Times New Roman"/>
          <w:b/>
          <w:bCs/>
          <w:sz w:val="18"/>
          <w:szCs w:val="18"/>
          <w:lang w:eastAsia="en-US"/>
        </w:rPr>
        <w:t>:</w:t>
      </w:r>
      <w:r w:rsidRPr="00D97C66">
        <w:rPr>
          <w:rFonts w:eastAsia="Calibri" w:cs="Times New Roman"/>
          <w:b/>
          <w:bCs/>
          <w:sz w:val="18"/>
          <w:szCs w:val="18"/>
          <w:lang w:eastAsia="en-US"/>
        </w:rPr>
        <w:t xml:space="preserve"> </w:t>
      </w:r>
      <w:r w:rsidRPr="006050DF">
        <w:rPr>
          <w:rFonts w:eastAsia="Calibri" w:cs="Times New Roman"/>
          <w:b/>
          <w:bCs/>
          <w:sz w:val="18"/>
          <w:szCs w:val="18"/>
          <w:lang w:eastAsia="en-US"/>
        </w:rPr>
        <w:t>Absolute Power Calibration with Reference Receiver</w:t>
      </w:r>
    </w:p>
    <w:p w14:paraId="59F82EFA" w14:textId="77777777" w:rsidR="006050DF" w:rsidRPr="006050DF" w:rsidRDefault="006050DF" w:rsidP="006050DF">
      <w:pPr>
        <w:ind w:left="360"/>
        <w:jc w:val="center"/>
      </w:pPr>
    </w:p>
    <w:p w14:paraId="4EA312C2" w14:textId="252F2E8F" w:rsidR="003E3000" w:rsidRPr="003E3000" w:rsidRDefault="003E3000" w:rsidP="003E3000">
      <w:pPr>
        <w:pStyle w:val="ListParagraph"/>
        <w:numPr>
          <w:ilvl w:val="0"/>
          <w:numId w:val="11"/>
        </w:numPr>
        <w:rPr>
          <w:lang w:val="en-US"/>
        </w:rPr>
      </w:pPr>
      <w:r w:rsidRPr="003E3000">
        <w:rPr>
          <w:lang w:val="en-US"/>
        </w:rPr>
        <w:t xml:space="preserve">Set the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oMath>
      <w:r w:rsidRPr="003E3000">
        <w:rPr>
          <w:lang w:val="en-US"/>
        </w:rPr>
        <w:t xml:space="preserve"> and </w:t>
      </w:r>
      <w:r w:rsidR="002A1CE7">
        <w:rPr>
          <w:lang w:val="en-US"/>
        </w:rPr>
        <w:t xml:space="preserve">the </w:t>
      </w:r>
      <w:r w:rsidRPr="003E3000">
        <w:rPr>
          <w:lang w:val="en-US"/>
        </w:rPr>
        <w:t xml:space="preserve">output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out</m:t>
            </m:r>
          </m:sub>
        </m:sSub>
      </m:oMath>
      <w:r w:rsidRPr="003E3000">
        <w:rPr>
          <w:rFonts w:eastAsiaTheme="minorEastAsia"/>
          <w:lang w:val="en-US"/>
        </w:rPr>
        <w:t xml:space="preserve"> </w:t>
      </w:r>
      <w:r w:rsidRPr="003E3000">
        <w:rPr>
          <w:lang w:val="en-US"/>
        </w:rPr>
        <w:t xml:space="preserve">of CW signal </w:t>
      </w:r>
      <w:r w:rsidRPr="003E3000">
        <w:rPr>
          <w:rFonts w:eastAsiaTheme="minorEastAsia"/>
          <w:lang w:val="en-US"/>
        </w:rPr>
        <w:t xml:space="preserve">at the </w:t>
      </w:r>
      <w:r w:rsidR="002A1CE7">
        <w:rPr>
          <w:rFonts w:eastAsiaTheme="minorEastAsia"/>
          <w:lang w:val="en-US"/>
        </w:rPr>
        <w:t xml:space="preserve">output E of the </w:t>
      </w:r>
      <w:r w:rsidRPr="003E3000">
        <w:rPr>
          <w:rFonts w:eastAsiaTheme="minorEastAsia"/>
          <w:lang w:val="en-US"/>
        </w:rPr>
        <w:t>signal generator.</w:t>
      </w:r>
    </w:p>
    <w:p w14:paraId="61138A2B" w14:textId="77777777" w:rsidR="003E3000" w:rsidRPr="003E3000" w:rsidRDefault="003E3000" w:rsidP="003E3000">
      <w:pPr>
        <w:pStyle w:val="ListParagraph"/>
        <w:numPr>
          <w:ilvl w:val="0"/>
          <w:numId w:val="11"/>
        </w:numPr>
        <w:rPr>
          <w:lang w:val="en-US"/>
        </w:rPr>
      </w:pPr>
      <w:r w:rsidRPr="003E3000">
        <w:rPr>
          <w:rFonts w:eastAsiaTheme="minorEastAsia"/>
          <w:lang w:val="en-US"/>
        </w:rPr>
        <w:t xml:space="preserve">Measure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3E3000">
        <w:rPr>
          <w:rFonts w:eastAsiaTheme="minorEastAsia"/>
          <w:lang w:val="en-US"/>
        </w:rPr>
        <w:t xml:space="preserve"> at the interface F which is the input of the reference receiver.</w:t>
      </w:r>
    </w:p>
    <w:p w14:paraId="45A890D4" w14:textId="6A662218" w:rsidR="003E3000" w:rsidRPr="003E3000" w:rsidRDefault="003E3000" w:rsidP="003E3000">
      <w:pPr>
        <w:pStyle w:val="ListParagraph"/>
        <w:numPr>
          <w:ilvl w:val="0"/>
          <w:numId w:val="11"/>
        </w:numPr>
        <w:rPr>
          <w:lang w:val="en-US"/>
        </w:rPr>
      </w:pPr>
      <w:r w:rsidRPr="003E3000">
        <w:rPr>
          <w:rFonts w:eastAsiaTheme="minorEastAsia"/>
          <w:lang w:val="en-US"/>
        </w:rPr>
        <w:t xml:space="preserve">Repeat step 2 and 3 for all </w:t>
      </w:r>
      <m:oMath>
        <m:r>
          <w:rPr>
            <w:rFonts w:ascii="Cambria Math" w:eastAsiaTheme="minorEastAsia" w:hAnsi="Cambria Math"/>
            <w:lang w:val="en-US"/>
          </w:rPr>
          <m:t>N</m:t>
        </m:r>
      </m:oMath>
      <w:r w:rsidRPr="003E3000">
        <w:rPr>
          <w:rFonts w:eastAsiaTheme="minorEastAsia"/>
          <w:lang w:val="en-US"/>
        </w:rPr>
        <w:t xml:space="preserve"> frequencies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r>
          <w:rPr>
            <w:rFonts w:ascii="Cambria Math" w:eastAsiaTheme="minorEastAsia" w:hAnsi="Cambria Math"/>
            <w:lang w:val="en-US"/>
          </w:rPr>
          <m:t>, n=1,2,…,N</m:t>
        </m:r>
      </m:oMath>
      <w:r w:rsidRPr="003E3000">
        <w:rPr>
          <w:rFonts w:eastAsiaTheme="minorEastAsia"/>
          <w:lang w:val="en-US"/>
        </w:rPr>
        <w:t xml:space="preserve"> within signal bandwidth </w:t>
      </w:r>
      <m:oMath>
        <m:r>
          <w:rPr>
            <w:rFonts w:ascii="Cambria Math" w:eastAsiaTheme="minorEastAsia" w:hAnsi="Cambria Math"/>
            <w:lang w:val="en-US"/>
          </w:rPr>
          <m:t>BW</m:t>
        </m:r>
      </m:oMath>
      <w:r w:rsidRPr="003E3000">
        <w:rPr>
          <w:rFonts w:eastAsiaTheme="minorEastAsia"/>
          <w:lang w:val="en-US"/>
        </w:rPr>
        <w:t xml:space="preserve"> with sufficiently small step size, e.g. </w:t>
      </w:r>
      <m:oMath>
        <m:r>
          <w:rPr>
            <w:rFonts w:ascii="Cambria Math" w:eastAsiaTheme="minorEastAsia" w:hAnsi="Cambria Math"/>
            <w:lang w:val="en-US"/>
          </w:rPr>
          <m:t xml:space="preserve">∆f=1 </m:t>
        </m:r>
        <m:r>
          <m:rPr>
            <m:nor/>
          </m:rPr>
          <w:rPr>
            <w:rFonts w:ascii="Cambria Math" w:eastAsiaTheme="minorEastAsia" w:hAnsi="Cambria Math"/>
            <w:lang w:val="en-US"/>
          </w:rPr>
          <m:t>MHz</m:t>
        </m:r>
      </m:oMath>
      <w:r w:rsidRPr="003E3000">
        <w:rPr>
          <w:rFonts w:eastAsiaTheme="minorEastAsia"/>
          <w:lang w:val="en-US"/>
        </w:rPr>
        <w:t xml:space="preserve">, such as </w:t>
      </w:r>
      <m:oMath>
        <m:r>
          <w:rPr>
            <w:rFonts w:ascii="Cambria Math" w:eastAsiaTheme="minorEastAsia" w:hAnsi="Cambria Math"/>
            <w:lang w:val="en-US"/>
          </w:rPr>
          <m:t>N∆f=BW</m:t>
        </m:r>
      </m:oMath>
      <w:r w:rsidRPr="003E3000">
        <w:rPr>
          <w:rFonts w:eastAsiaTheme="minorEastAsia"/>
          <w:lang w:val="en-US"/>
        </w:rPr>
        <w:t>.</w:t>
      </w:r>
      <w:r w:rsidR="002A1CE7">
        <w:rPr>
          <w:rFonts w:eastAsiaTheme="minorEastAsia"/>
          <w:lang w:val="en-US"/>
        </w:rPr>
        <w:t xml:space="preserve"> </w:t>
      </w:r>
      <m:oMath>
        <m:r>
          <w:rPr>
            <w:rFonts w:ascii="Cambria Math" w:eastAsiaTheme="minorEastAsia" w:hAnsi="Cambria Math"/>
            <w:lang w:val="en-US"/>
          </w:rPr>
          <m:t>N</m:t>
        </m:r>
      </m:oMath>
      <w:r w:rsidR="002A1CE7">
        <w:rPr>
          <w:rFonts w:eastAsiaTheme="minorEastAsia"/>
          <w:lang w:val="en-US"/>
        </w:rPr>
        <w:t xml:space="preserve"> shall be an odd number.</w:t>
      </w:r>
    </w:p>
    <w:p w14:paraId="6EC8DC7F" w14:textId="0D0ABC07" w:rsidR="003E3000" w:rsidRDefault="003E3000" w:rsidP="003E3000">
      <w:pPr>
        <w:pStyle w:val="ListParagraph"/>
        <w:numPr>
          <w:ilvl w:val="0"/>
          <w:numId w:val="11"/>
        </w:numPr>
        <w:rPr>
          <w:lang w:val="en-US"/>
        </w:rPr>
      </w:pPr>
      <w:r w:rsidRPr="003E3000">
        <w:rPr>
          <w:lang w:val="en-US"/>
        </w:rPr>
        <w:t xml:space="preserve">Replace the reference receiver with the reference antenna at the interface F and connect the measurement receiver to the RF output port </w:t>
      </w:r>
      <w:r w:rsidR="002A1CE7">
        <w:rPr>
          <w:lang w:val="en-US"/>
        </w:rPr>
        <w:t xml:space="preserve">C </w:t>
      </w:r>
      <w:r w:rsidRPr="003E3000">
        <w:rPr>
          <w:lang w:val="en-US"/>
        </w:rPr>
        <w:t>of the PWC as shown in</w:t>
      </w:r>
      <w:r w:rsidR="006050DF">
        <w:rPr>
          <w:lang w:val="en-US"/>
        </w:rPr>
        <w:t xml:space="preserve"> figure 3.1-2</w:t>
      </w:r>
      <w:r w:rsidRPr="003E3000">
        <w:rPr>
          <w:lang w:val="en-US"/>
        </w:rPr>
        <w:t xml:space="preserve">. The phase center of the reference antenna A shall be aligned with the PWC coordinate system B. The interface A shall coincide with the origin of the DUT positioner coordinate system. Realized gain of the reference antenna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REF</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3E3000">
        <w:rPr>
          <w:lang w:val="en-US"/>
        </w:rPr>
        <w:t xml:space="preserve"> in the direction towards PWC antenna </w:t>
      </w:r>
      <w:r w:rsidR="007A69DE">
        <w:rPr>
          <w:lang w:val="en-US"/>
        </w:rPr>
        <w:t xml:space="preserve">is </w:t>
      </w:r>
      <w:r w:rsidRPr="003E3000">
        <w:rPr>
          <w:lang w:val="en-US"/>
        </w:rPr>
        <w:t xml:space="preserve">known. </w:t>
      </w:r>
    </w:p>
    <w:p w14:paraId="20D6F8A6" w14:textId="653782BA" w:rsidR="006050DF" w:rsidRDefault="008C7BA9" w:rsidP="006050DF">
      <w:pPr>
        <w:ind w:left="360"/>
        <w:jc w:val="center"/>
      </w:pPr>
      <w:r>
        <w:rPr>
          <w:noProof/>
          <w:lang w:eastAsia="en-US"/>
        </w:rPr>
        <w:lastRenderedPageBreak/>
        <w:drawing>
          <wp:inline distT="0" distB="0" distL="0" distR="0" wp14:anchorId="1DACA98D" wp14:editId="545DD27B">
            <wp:extent cx="4797917" cy="21600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7917" cy="2160000"/>
                    </a:xfrm>
                    <a:prstGeom prst="rect">
                      <a:avLst/>
                    </a:prstGeom>
                    <a:noFill/>
                  </pic:spPr>
                </pic:pic>
              </a:graphicData>
            </a:graphic>
          </wp:inline>
        </w:drawing>
      </w:r>
    </w:p>
    <w:p w14:paraId="40CA3332" w14:textId="12B48138" w:rsidR="007A69DE" w:rsidRPr="00D97C66" w:rsidRDefault="007A69DE" w:rsidP="007A69DE">
      <w:pPr>
        <w:spacing w:before="60" w:after="0" w:line="240" w:lineRule="auto"/>
        <w:jc w:val="center"/>
        <w:rPr>
          <w:rFonts w:eastAsia="Calibri" w:cs="Times New Roman"/>
          <w:b/>
          <w:bCs/>
          <w:sz w:val="18"/>
          <w:szCs w:val="18"/>
          <w:lang w:eastAsia="en-US"/>
        </w:rPr>
      </w:pPr>
      <w:r w:rsidRPr="00D97C66">
        <w:rPr>
          <w:rFonts w:eastAsia="Calibri" w:cs="Times New Roman"/>
          <w:b/>
          <w:bCs/>
          <w:sz w:val="18"/>
          <w:szCs w:val="18"/>
          <w:lang w:eastAsia="en-US"/>
        </w:rPr>
        <w:t xml:space="preserve">Figure </w:t>
      </w:r>
      <w:r>
        <w:rPr>
          <w:rFonts w:eastAsia="Calibri" w:cs="Times New Roman"/>
          <w:b/>
          <w:bCs/>
          <w:sz w:val="18"/>
          <w:szCs w:val="18"/>
          <w:lang w:eastAsia="en-US"/>
        </w:rPr>
        <w:t>3.1</w:t>
      </w:r>
      <w:r w:rsidRPr="00D97C66">
        <w:rPr>
          <w:rFonts w:eastAsia="Calibri" w:cs="Times New Roman"/>
          <w:b/>
          <w:bCs/>
          <w:sz w:val="18"/>
          <w:szCs w:val="18"/>
          <w:lang w:eastAsia="en-US"/>
        </w:rPr>
        <w:noBreakHyphen/>
      </w:r>
      <w:r>
        <w:rPr>
          <w:rFonts w:eastAsia="Calibri" w:cs="Times New Roman"/>
          <w:b/>
          <w:bCs/>
          <w:sz w:val="18"/>
          <w:szCs w:val="18"/>
          <w:lang w:eastAsia="en-US"/>
        </w:rPr>
        <w:t>2</w:t>
      </w:r>
      <w:r w:rsidR="00482D73">
        <w:rPr>
          <w:rFonts w:eastAsia="Calibri" w:cs="Times New Roman"/>
          <w:b/>
          <w:bCs/>
          <w:sz w:val="18"/>
          <w:szCs w:val="18"/>
          <w:lang w:eastAsia="en-US"/>
        </w:rPr>
        <w:t>:</w:t>
      </w:r>
      <w:r w:rsidRPr="00D97C66">
        <w:rPr>
          <w:rFonts w:eastAsia="Calibri" w:cs="Times New Roman"/>
          <w:b/>
          <w:bCs/>
          <w:sz w:val="18"/>
          <w:szCs w:val="18"/>
          <w:lang w:eastAsia="en-US"/>
        </w:rPr>
        <w:t xml:space="preserve"> </w:t>
      </w:r>
      <w:r w:rsidR="008C7BA9">
        <w:rPr>
          <w:rFonts w:eastAsia="Calibri" w:cs="Times New Roman"/>
          <w:b/>
          <w:bCs/>
          <w:sz w:val="18"/>
          <w:szCs w:val="18"/>
          <w:lang w:eastAsia="en-US"/>
        </w:rPr>
        <w:t xml:space="preserve">Tx range path loss </w:t>
      </w:r>
      <w:r w:rsidRPr="006050DF">
        <w:rPr>
          <w:rFonts w:eastAsia="Calibri" w:cs="Times New Roman"/>
          <w:b/>
          <w:bCs/>
          <w:sz w:val="18"/>
          <w:szCs w:val="18"/>
          <w:lang w:eastAsia="en-US"/>
        </w:rPr>
        <w:t>Calibration with Reference Receiver</w:t>
      </w:r>
    </w:p>
    <w:p w14:paraId="60BC672C" w14:textId="77777777" w:rsidR="007A69DE" w:rsidRPr="006050DF" w:rsidRDefault="007A69DE" w:rsidP="006050DF">
      <w:pPr>
        <w:ind w:left="360"/>
        <w:jc w:val="center"/>
      </w:pPr>
    </w:p>
    <w:p w14:paraId="2ABFD8EB" w14:textId="288CAB1B" w:rsidR="003E3000" w:rsidRPr="003E3000" w:rsidRDefault="007A69DE" w:rsidP="003E3000">
      <w:pPr>
        <w:pStyle w:val="ListParagraph"/>
        <w:numPr>
          <w:ilvl w:val="0"/>
          <w:numId w:val="11"/>
        </w:numPr>
        <w:rPr>
          <w:lang w:val="en-US"/>
        </w:rPr>
      </w:pPr>
      <w:r>
        <w:rPr>
          <w:lang w:val="en-US"/>
        </w:rPr>
        <w:t>Configure the</w:t>
      </w:r>
      <w:r w:rsidR="003E3000" w:rsidRPr="003E3000">
        <w:rPr>
          <w:lang w:val="en-US"/>
        </w:rPr>
        <w:t xml:space="preserve"> PWC setting corresponding to the center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PWC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f>
              <m:fPr>
                <m:type m:val="lin"/>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N+1</m:t>
                    </m:r>
                  </m:e>
                </m:d>
              </m:num>
              <m:den>
                <m:r>
                  <w:rPr>
                    <w:rFonts w:ascii="Cambria Math" w:hAnsi="Cambria Math"/>
                    <w:lang w:val="en-US"/>
                  </w:rPr>
                  <m:t>2</m:t>
                </m:r>
              </m:den>
            </m:f>
          </m:sub>
        </m:sSub>
      </m:oMath>
      <w:r w:rsidR="003E3000" w:rsidRPr="003E3000">
        <w:rPr>
          <w:lang w:val="en-US"/>
        </w:rPr>
        <w:t xml:space="preserve"> within the signal bandwidth and the prepared QZ target field. Keep the same setting of the center frequency and output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out</m:t>
            </m:r>
          </m:sub>
        </m:sSub>
      </m:oMath>
      <w:r w:rsidR="003E3000" w:rsidRPr="003E3000">
        <w:rPr>
          <w:rFonts w:eastAsiaTheme="minorEastAsia"/>
          <w:lang w:val="en-US"/>
        </w:rPr>
        <w:t xml:space="preserve"> </w:t>
      </w:r>
      <w:r w:rsidR="003E3000" w:rsidRPr="003E3000">
        <w:rPr>
          <w:lang w:val="en-US"/>
        </w:rPr>
        <w:t xml:space="preserve">of CW signal </w:t>
      </w:r>
      <w:r w:rsidR="003E3000" w:rsidRPr="003E3000">
        <w:rPr>
          <w:rFonts w:eastAsiaTheme="minorEastAsia"/>
          <w:lang w:val="en-US"/>
        </w:rPr>
        <w:t>at the signal generator.</w:t>
      </w:r>
    </w:p>
    <w:p w14:paraId="1CF16EB0" w14:textId="77777777" w:rsidR="003E3000" w:rsidRPr="003E3000" w:rsidRDefault="003E3000" w:rsidP="003E3000">
      <w:pPr>
        <w:pStyle w:val="ListParagraph"/>
        <w:numPr>
          <w:ilvl w:val="0"/>
          <w:numId w:val="11"/>
        </w:numPr>
        <w:rPr>
          <w:lang w:val="en-US"/>
        </w:rPr>
      </w:pPr>
      <w:r w:rsidRPr="003E3000">
        <w:rPr>
          <w:rFonts w:eastAsiaTheme="minorEastAsia"/>
          <w:lang w:val="en-US"/>
        </w:rPr>
        <w:t xml:space="preserve">Measure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3E3000">
        <w:rPr>
          <w:rFonts w:eastAsiaTheme="minorEastAsia"/>
          <w:lang w:val="en-US"/>
        </w:rPr>
        <w:t xml:space="preserve"> at the interface D which is the input of the measurement receiver.</w:t>
      </w:r>
    </w:p>
    <w:p w14:paraId="17131D08" w14:textId="70D5247F" w:rsidR="003E3000" w:rsidRPr="003E3000" w:rsidRDefault="003E3000" w:rsidP="003E3000">
      <w:pPr>
        <w:pStyle w:val="ListParagraph"/>
        <w:numPr>
          <w:ilvl w:val="0"/>
          <w:numId w:val="11"/>
        </w:numPr>
        <w:rPr>
          <w:lang w:val="en-US"/>
        </w:rPr>
      </w:pPr>
      <w:r w:rsidRPr="003E3000">
        <w:rPr>
          <w:lang w:val="en-US"/>
        </w:rPr>
        <w:t xml:space="preserve">Calculate path loss value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EIRP</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3E3000">
        <w:rPr>
          <w:lang w:val="en-US"/>
        </w:rPr>
        <w:t xml:space="preserve"> between the interfaces A and D for EIRP measurement. Note that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EIRP</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3E3000">
        <w:rPr>
          <w:lang w:val="en-US"/>
        </w:rPr>
        <w:t xml:space="preserve"> includes absolute level uncertainty of the measurement receiver which </w:t>
      </w:r>
      <w:r w:rsidR="007A69DE">
        <w:rPr>
          <w:lang w:val="en-US"/>
        </w:rPr>
        <w:t xml:space="preserve">is </w:t>
      </w:r>
      <w:r w:rsidRPr="003E3000">
        <w:rPr>
          <w:lang w:val="en-US"/>
        </w:rPr>
        <w:t>cancelled</w:t>
      </w:r>
      <w:r w:rsidR="007A69DE">
        <w:rPr>
          <w:lang w:val="en-US"/>
        </w:rPr>
        <w:t xml:space="preserve"> out</w:t>
      </w:r>
      <w:r w:rsidRPr="003E3000">
        <w:rPr>
          <w:lang w:val="en-US"/>
        </w:rPr>
        <w:t xml:space="preserve"> during EIRP measurement.</w:t>
      </w:r>
      <w:r w:rsidRPr="003E3000">
        <w:rPr>
          <w:lang w:val="en-US"/>
        </w:rPr>
        <w:br/>
      </w:r>
      <m:oMathPara>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EIRP</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r>
            <w:rPr>
              <w:rFonts w:ascii="Cambria Math" w:eastAsiaTheme="minorEastAsia" w:hAnsi="Cambria Math"/>
              <w:lang w:val="en-US"/>
            </w:rPr>
            <m:t>=10</m:t>
          </m:r>
          <m:func>
            <m:funcPr>
              <m:ctrlPr>
                <w:rPr>
                  <w:rFonts w:ascii="Cambria Math" w:eastAsiaTheme="minorEastAsia" w:hAnsi="Cambria Math"/>
                  <w:i/>
                  <w:lang w:val="en-US"/>
                </w:rPr>
              </m:ctrlPr>
            </m:funcPr>
            <m:fName>
              <m:r>
                <m:rPr>
                  <m:sty m:val="p"/>
                </m:rPr>
                <w:rPr>
                  <w:rFonts w:ascii="Cambria Math" w:eastAsiaTheme="minorEastAsia" w:hAnsi="Cambria Math"/>
                  <w:lang w:val="en-US"/>
                </w:rPr>
                <m:t>log</m:t>
              </m:r>
            </m:fName>
            <m:e>
              <m:f>
                <m:fPr>
                  <m:ctrlPr>
                    <w:rPr>
                      <w:rFonts w:ascii="Cambria Math" w:eastAsiaTheme="minorEastAsia" w:hAnsi="Cambria Math"/>
                      <w:i/>
                      <w:lang w:val="en-US"/>
                    </w:rPr>
                  </m:ctrlPr>
                </m:fPr>
                <m:num>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sSub>
                    <m:sSubPr>
                      <m:ctrlPr>
                        <w:rPr>
                          <w:rFonts w:ascii="Cambria Math" w:eastAsiaTheme="minorEastAsia" w:hAnsi="Cambria Math"/>
                          <w:i/>
                          <w:lang w:val="en-US"/>
                        </w:rPr>
                      </m:ctrlPr>
                    </m:sSubPr>
                    <m:e>
                      <m:r>
                        <w:rPr>
                          <w:rFonts w:ascii="Cambria Math" w:eastAsiaTheme="minorEastAsia" w:hAnsi="Cambria Math"/>
                          <w:lang w:val="en-US"/>
                        </w:rPr>
                        <m:t>G</m:t>
                      </m:r>
                    </m:e>
                    <m:sub>
                      <m:r>
                        <w:rPr>
                          <w:rFonts w:ascii="Cambria Math" w:eastAsiaTheme="minorEastAsia" w:hAnsi="Cambria Math"/>
                          <w:lang w:val="en-US"/>
                        </w:rPr>
                        <m:t>REF</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num>
                <m:den>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den>
              </m:f>
            </m:e>
          </m:func>
          <m:r>
            <w:rPr>
              <w:rFonts w:ascii="Cambria Math" w:eastAsiaTheme="minorEastAsia" w:hAnsi="Cambria Math"/>
              <w:lang w:val="en-US"/>
            </w:rPr>
            <m:t xml:space="preserve"> </m:t>
          </m:r>
          <m:r>
            <m:rPr>
              <m:nor/>
            </m:rPr>
            <w:rPr>
              <w:rFonts w:ascii="Cambria Math" w:eastAsiaTheme="minorEastAsia" w:hAnsi="Cambria Math"/>
              <w:lang w:val="en-US"/>
            </w:rPr>
            <m:t>[dB]</m:t>
          </m:r>
        </m:oMath>
      </m:oMathPara>
    </w:p>
    <w:p w14:paraId="1855FEDD" w14:textId="186F3F57" w:rsidR="007A69DE" w:rsidRPr="003E3000" w:rsidRDefault="007A69DE" w:rsidP="007A69DE">
      <w:pPr>
        <w:pStyle w:val="Heading2"/>
        <w:rPr>
          <w:lang w:val="en-US"/>
        </w:rPr>
      </w:pPr>
      <w:r>
        <w:rPr>
          <w:lang w:val="en-US"/>
        </w:rPr>
        <w:t>R</w:t>
      </w:r>
      <w:r w:rsidRPr="003E3000">
        <w:rPr>
          <w:lang w:val="en-US"/>
        </w:rPr>
        <w:t>x path loss calibration</w:t>
      </w:r>
    </w:p>
    <w:p w14:paraId="361F246D" w14:textId="706FB47F" w:rsidR="007A69DE" w:rsidRDefault="007A69DE" w:rsidP="007A69DE">
      <w:pPr>
        <w:jc w:val="both"/>
        <w:rPr>
          <w:lang w:eastAsia="en-US"/>
        </w:rPr>
      </w:pPr>
      <w:r>
        <w:rPr>
          <w:lang w:eastAsia="en-US"/>
        </w:rPr>
        <w:t>The path loss calibration for receiver tests follows a similar approach to minimize the measurement uncertainty due to the transmitter absolute accuracy, where a relative measurement approach is used (as described in section G.5 in</w:t>
      </w:r>
      <w:r w:rsidR="00C56DEE">
        <w:rPr>
          <w:lang w:eastAsia="en-US"/>
        </w:rPr>
        <w:t xml:space="preserve"> </w:t>
      </w:r>
      <w:r w:rsidR="00C56DEE">
        <w:rPr>
          <w:lang w:eastAsia="en-US"/>
        </w:rPr>
        <w:fldChar w:fldCharType="begin"/>
      </w:r>
      <w:r w:rsidR="00C56DEE">
        <w:rPr>
          <w:lang w:eastAsia="en-US"/>
        </w:rPr>
        <w:instrText xml:space="preserve"> REF _Ref16672157 \r \h </w:instrText>
      </w:r>
      <w:r w:rsidR="00C56DEE">
        <w:rPr>
          <w:lang w:eastAsia="en-US"/>
        </w:rPr>
      </w:r>
      <w:r w:rsidR="00C56DEE">
        <w:rPr>
          <w:lang w:eastAsia="en-US"/>
        </w:rPr>
        <w:fldChar w:fldCharType="separate"/>
      </w:r>
      <w:r w:rsidR="00C56DEE">
        <w:rPr>
          <w:lang w:eastAsia="en-US"/>
        </w:rPr>
        <w:t>[6]</w:t>
      </w:r>
      <w:r w:rsidR="00C56DEE">
        <w:rPr>
          <w:lang w:eastAsia="en-US"/>
        </w:rPr>
        <w:fldChar w:fldCharType="end"/>
      </w:r>
      <w:r>
        <w:rPr>
          <w:lang w:eastAsia="en-US"/>
        </w:rPr>
        <w:t>). Further details on how the MU is calculated is provided in</w:t>
      </w:r>
      <w:r w:rsidR="00C56DEE">
        <w:rPr>
          <w:lang w:eastAsia="en-US"/>
        </w:rPr>
        <w:t xml:space="preserve"> </w:t>
      </w:r>
      <w:r w:rsidR="00C56DEE">
        <w:rPr>
          <w:lang w:eastAsia="en-US"/>
        </w:rPr>
        <w:fldChar w:fldCharType="begin"/>
      </w:r>
      <w:r w:rsidR="00C56DEE">
        <w:rPr>
          <w:lang w:eastAsia="en-US"/>
        </w:rPr>
        <w:instrText xml:space="preserve"> REF _Ref16672129 \r \h </w:instrText>
      </w:r>
      <w:r w:rsidR="00C56DEE">
        <w:rPr>
          <w:lang w:eastAsia="en-US"/>
        </w:rPr>
      </w:r>
      <w:r w:rsidR="00C56DEE">
        <w:rPr>
          <w:lang w:eastAsia="en-US"/>
        </w:rPr>
        <w:fldChar w:fldCharType="separate"/>
      </w:r>
      <w:r w:rsidR="00C56DEE">
        <w:rPr>
          <w:lang w:eastAsia="en-US"/>
        </w:rPr>
        <w:t>[2]</w:t>
      </w:r>
      <w:r w:rsidR="00C56DEE">
        <w:rPr>
          <w:lang w:eastAsia="en-US"/>
        </w:rPr>
        <w:fldChar w:fldCharType="end"/>
      </w:r>
      <w:r>
        <w:rPr>
          <w:lang w:eastAsia="en-US"/>
        </w:rPr>
        <w:t>.</w:t>
      </w:r>
    </w:p>
    <w:p w14:paraId="63C52FA7" w14:textId="77777777" w:rsidR="007A69DE" w:rsidRPr="003E3000" w:rsidRDefault="007A69DE" w:rsidP="007A69DE">
      <w:pPr>
        <w:jc w:val="both"/>
        <w:rPr>
          <w:lang w:eastAsia="en-US"/>
        </w:rPr>
      </w:pPr>
      <w:r>
        <w:rPr>
          <w:lang w:eastAsia="en-US"/>
        </w:rPr>
        <w:t>The step-by-step procedure is as follows:</w:t>
      </w:r>
    </w:p>
    <w:p w14:paraId="588CDBC1" w14:textId="62489A65" w:rsidR="007A69DE" w:rsidRPr="00E943FB" w:rsidRDefault="007A69DE" w:rsidP="007A69DE">
      <w:pPr>
        <w:pStyle w:val="ListParagraph"/>
        <w:numPr>
          <w:ilvl w:val="0"/>
          <w:numId w:val="12"/>
        </w:numPr>
        <w:rPr>
          <w:lang w:val="en-US"/>
        </w:rPr>
      </w:pPr>
      <w:r w:rsidRPr="00E943FB">
        <w:rPr>
          <w:lang w:val="en-US"/>
        </w:rPr>
        <w:t xml:space="preserve">Connect the signal generator to the input C of PWC and the </w:t>
      </w:r>
      <w:r w:rsidR="00D23A5E">
        <w:rPr>
          <w:lang w:val="en-US"/>
        </w:rPr>
        <w:t xml:space="preserve">input D of the </w:t>
      </w:r>
      <w:r w:rsidRPr="00E943FB">
        <w:rPr>
          <w:lang w:val="en-US"/>
        </w:rPr>
        <w:t xml:space="preserve">reference receiver to the RF output port </w:t>
      </w:r>
      <w:r w:rsidR="00D23A5E">
        <w:rPr>
          <w:lang w:val="en-US"/>
        </w:rPr>
        <w:t xml:space="preserve">F </w:t>
      </w:r>
      <w:r w:rsidRPr="00E943FB">
        <w:rPr>
          <w:lang w:val="en-US"/>
        </w:rPr>
        <w:t xml:space="preserve">of the reference antenna, as shown in 3.2-2. The phase center of the reference antenna A shall be aligned with the PWC coordinate system B. The interface A shall coincide with the origin </w:t>
      </w:r>
      <w:r w:rsidR="00D23A5E">
        <w:rPr>
          <w:lang w:val="en-US"/>
        </w:rPr>
        <w:t xml:space="preserve">B </w:t>
      </w:r>
      <w:r w:rsidRPr="00E943FB">
        <w:rPr>
          <w:lang w:val="en-US"/>
        </w:rPr>
        <w:t xml:space="preserve">of the DUT positioner coordinate system. Realized gain of the reference antenna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REF</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E943FB">
        <w:rPr>
          <w:lang w:val="en-US"/>
        </w:rPr>
        <w:t xml:space="preserve"> in the direction towards PWC antenna is known.</w:t>
      </w:r>
    </w:p>
    <w:p w14:paraId="6BA3927C" w14:textId="1AE23426" w:rsidR="00FA3228" w:rsidRPr="00E943FB" w:rsidRDefault="0049417A" w:rsidP="00FA3228">
      <w:pPr>
        <w:ind w:left="360"/>
        <w:jc w:val="center"/>
      </w:pPr>
      <w:r>
        <w:rPr>
          <w:noProof/>
          <w:lang w:eastAsia="en-US"/>
        </w:rPr>
        <w:drawing>
          <wp:inline distT="0" distB="0" distL="0" distR="0" wp14:anchorId="6656C402" wp14:editId="35250156">
            <wp:extent cx="488885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p>
    <w:p w14:paraId="28CCB39E" w14:textId="6A31D936" w:rsidR="00FA3228" w:rsidRPr="00E943FB" w:rsidRDefault="00FA3228" w:rsidP="00FA3228">
      <w:pPr>
        <w:spacing w:before="60" w:after="0" w:line="240" w:lineRule="auto"/>
        <w:jc w:val="center"/>
        <w:rPr>
          <w:rFonts w:eastAsia="Calibri" w:cs="Times New Roman"/>
          <w:b/>
          <w:bCs/>
          <w:sz w:val="18"/>
          <w:szCs w:val="18"/>
          <w:lang w:eastAsia="en-US"/>
        </w:rPr>
      </w:pPr>
      <w:r w:rsidRPr="00E943FB">
        <w:rPr>
          <w:rFonts w:eastAsia="Calibri" w:cs="Times New Roman"/>
          <w:b/>
          <w:bCs/>
          <w:sz w:val="18"/>
          <w:szCs w:val="18"/>
          <w:lang w:eastAsia="en-US"/>
        </w:rPr>
        <w:t>Figure 3.2</w:t>
      </w:r>
      <w:r w:rsidRPr="00E943FB">
        <w:rPr>
          <w:rFonts w:eastAsia="Calibri" w:cs="Times New Roman"/>
          <w:b/>
          <w:bCs/>
          <w:sz w:val="18"/>
          <w:szCs w:val="18"/>
          <w:lang w:eastAsia="en-US"/>
        </w:rPr>
        <w:noBreakHyphen/>
      </w:r>
      <w:r w:rsidR="00427DDB" w:rsidRPr="00E943FB">
        <w:rPr>
          <w:rFonts w:eastAsia="Calibri" w:cs="Times New Roman"/>
          <w:b/>
          <w:bCs/>
          <w:sz w:val="18"/>
          <w:szCs w:val="18"/>
          <w:lang w:eastAsia="en-US"/>
        </w:rPr>
        <w:t>1</w:t>
      </w:r>
      <w:r w:rsidR="00482D73" w:rsidRPr="00E943FB">
        <w:rPr>
          <w:rFonts w:eastAsia="Calibri" w:cs="Times New Roman"/>
          <w:b/>
          <w:bCs/>
          <w:sz w:val="18"/>
          <w:szCs w:val="18"/>
          <w:lang w:eastAsia="en-US"/>
        </w:rPr>
        <w:t>:</w:t>
      </w:r>
      <w:r w:rsidRPr="00E943FB">
        <w:rPr>
          <w:rFonts w:eastAsia="Calibri" w:cs="Times New Roman"/>
          <w:b/>
          <w:bCs/>
          <w:sz w:val="18"/>
          <w:szCs w:val="18"/>
          <w:lang w:eastAsia="en-US"/>
        </w:rPr>
        <w:t xml:space="preserve"> </w:t>
      </w:r>
      <w:r w:rsidR="008C7BA9" w:rsidRPr="00E943FB">
        <w:rPr>
          <w:rFonts w:eastAsia="Calibri" w:cs="Times New Roman"/>
          <w:b/>
          <w:bCs/>
          <w:sz w:val="18"/>
          <w:szCs w:val="18"/>
          <w:lang w:eastAsia="en-US"/>
        </w:rPr>
        <w:t>Rx range path loss Calibration with Reference Receiver</w:t>
      </w:r>
    </w:p>
    <w:p w14:paraId="79F48E3E" w14:textId="77777777" w:rsidR="00FA3228" w:rsidRPr="00E943FB" w:rsidRDefault="00FA3228" w:rsidP="00FA3228">
      <w:pPr>
        <w:ind w:left="360"/>
        <w:jc w:val="center"/>
      </w:pPr>
    </w:p>
    <w:p w14:paraId="2ED76537" w14:textId="484F1351" w:rsidR="007A69DE" w:rsidRPr="00E943FB" w:rsidRDefault="007A69DE" w:rsidP="007A69DE">
      <w:pPr>
        <w:pStyle w:val="ListParagraph"/>
        <w:numPr>
          <w:ilvl w:val="0"/>
          <w:numId w:val="12"/>
        </w:numPr>
        <w:rPr>
          <w:lang w:val="en-US"/>
        </w:rPr>
      </w:pPr>
      <w:r w:rsidRPr="00E943FB">
        <w:rPr>
          <w:lang w:val="en-US"/>
        </w:rPr>
        <w:t xml:space="preserve">Configure the PWC setting corresponding to the center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PWC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f>
              <m:fPr>
                <m:type m:val="lin"/>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N+1</m:t>
                    </m:r>
                  </m:e>
                </m:d>
              </m:num>
              <m:den>
                <m:r>
                  <w:rPr>
                    <w:rFonts w:ascii="Cambria Math" w:hAnsi="Cambria Math"/>
                    <w:lang w:val="en-US"/>
                  </w:rPr>
                  <m:t>2</m:t>
                </m:r>
              </m:den>
            </m:f>
          </m:sub>
        </m:sSub>
      </m:oMath>
      <w:r w:rsidRPr="00E943FB">
        <w:rPr>
          <w:lang w:val="en-US"/>
        </w:rPr>
        <w:t xml:space="preserve"> within the signal bandwidth and the prepared QZ target field. </w:t>
      </w:r>
    </w:p>
    <w:p w14:paraId="1852AA40" w14:textId="0EB6ED70" w:rsidR="007A69DE" w:rsidRPr="00E943FB" w:rsidRDefault="007A69DE" w:rsidP="007A69DE">
      <w:pPr>
        <w:pStyle w:val="ListParagraph"/>
        <w:numPr>
          <w:ilvl w:val="0"/>
          <w:numId w:val="12"/>
        </w:numPr>
        <w:rPr>
          <w:lang w:val="en-US"/>
        </w:rPr>
      </w:pPr>
      <w:r w:rsidRPr="00E943FB">
        <w:rPr>
          <w:lang w:val="en-US"/>
        </w:rPr>
        <w:t xml:space="preserve">Set the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oMath>
      <w:r w:rsidRPr="00E943FB">
        <w:rPr>
          <w:lang w:val="en-US"/>
        </w:rPr>
        <w:t xml:space="preserve"> and </w:t>
      </w:r>
      <w:r w:rsidR="00D23A5E">
        <w:rPr>
          <w:lang w:val="en-US"/>
        </w:rPr>
        <w:t xml:space="preserve">the </w:t>
      </w:r>
      <w:r w:rsidRPr="00E943FB">
        <w:rPr>
          <w:lang w:val="en-US"/>
        </w:rPr>
        <w:t xml:space="preserve">output power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out1</m:t>
            </m:r>
          </m:sub>
        </m:sSub>
      </m:oMath>
      <w:r w:rsidRPr="00E943FB">
        <w:rPr>
          <w:rFonts w:eastAsiaTheme="minorEastAsia"/>
          <w:lang w:val="en-US"/>
        </w:rPr>
        <w:t xml:space="preserve"> </w:t>
      </w:r>
      <w:r w:rsidRPr="00E943FB">
        <w:rPr>
          <w:lang w:val="en-US"/>
        </w:rPr>
        <w:t xml:space="preserve">of CW signal </w:t>
      </w:r>
      <w:r w:rsidRPr="00E943FB">
        <w:rPr>
          <w:rFonts w:eastAsiaTheme="minorEastAsia"/>
          <w:lang w:val="en-US"/>
        </w:rPr>
        <w:t xml:space="preserve">at the </w:t>
      </w:r>
      <w:r w:rsidR="00D23A5E">
        <w:rPr>
          <w:rFonts w:eastAsiaTheme="minorEastAsia"/>
          <w:lang w:val="en-US"/>
        </w:rPr>
        <w:t xml:space="preserve">output E of the </w:t>
      </w:r>
      <w:r w:rsidRPr="00E943FB">
        <w:rPr>
          <w:rFonts w:eastAsiaTheme="minorEastAsia"/>
          <w:lang w:val="en-US"/>
        </w:rPr>
        <w:t>signal generator.</w:t>
      </w:r>
    </w:p>
    <w:p w14:paraId="365A26BA" w14:textId="79E78CE7" w:rsidR="007A69DE" w:rsidRPr="00E943FB" w:rsidRDefault="007A69DE" w:rsidP="007A69DE">
      <w:pPr>
        <w:pStyle w:val="ListParagraph"/>
        <w:numPr>
          <w:ilvl w:val="0"/>
          <w:numId w:val="12"/>
        </w:numPr>
        <w:rPr>
          <w:lang w:val="en-US"/>
        </w:rPr>
      </w:pPr>
      <w:r w:rsidRPr="00E943FB">
        <w:rPr>
          <w:rFonts w:eastAsiaTheme="minorEastAsia"/>
          <w:lang w:val="en-US"/>
        </w:rPr>
        <w:t xml:space="preserve">Measure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E943FB">
        <w:rPr>
          <w:rFonts w:eastAsiaTheme="minorEastAsia"/>
          <w:lang w:val="en-US"/>
        </w:rPr>
        <w:t xml:space="preserve"> at the interface F which is the input of the reference receiver.</w:t>
      </w:r>
    </w:p>
    <w:p w14:paraId="53F7306C" w14:textId="441B7AE1" w:rsidR="00E943FB" w:rsidRPr="00044169" w:rsidRDefault="00E943FB" w:rsidP="00E943FB">
      <w:pPr>
        <w:pStyle w:val="ListParagraph"/>
        <w:numPr>
          <w:ilvl w:val="0"/>
          <w:numId w:val="12"/>
        </w:numPr>
        <w:rPr>
          <w:lang w:val="en-US"/>
        </w:rPr>
      </w:pPr>
      <w:r w:rsidRPr="00044169">
        <w:rPr>
          <w:rFonts w:eastAsiaTheme="minorEastAsia"/>
          <w:lang w:val="en-US"/>
        </w:rPr>
        <w:t xml:space="preserve">Repeat step 3 and 4 for all </w:t>
      </w:r>
      <m:oMath>
        <m:r>
          <w:rPr>
            <w:rFonts w:ascii="Cambria Math" w:eastAsiaTheme="minorEastAsia" w:hAnsi="Cambria Math"/>
          </w:rPr>
          <m:t>N</m:t>
        </m:r>
      </m:oMath>
      <w:r w:rsidRPr="00044169">
        <w:rPr>
          <w:rFonts w:eastAsiaTheme="minorEastAsia"/>
          <w:lang w:val="en-US"/>
        </w:rPr>
        <w:t xml:space="preserve"> frequencies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eastAsiaTheme="minorEastAsia" w:hAnsi="Cambria Math"/>
            <w:lang w:val="en-US"/>
          </w:rPr>
          <m:t xml:space="preserve">, </m:t>
        </m:r>
        <m:r>
          <w:rPr>
            <w:rFonts w:ascii="Cambria Math" w:eastAsiaTheme="minorEastAsia" w:hAnsi="Cambria Math"/>
          </w:rPr>
          <m:t>n</m:t>
        </m:r>
        <m:r>
          <w:rPr>
            <w:rFonts w:ascii="Cambria Math" w:eastAsiaTheme="minorEastAsia" w:hAnsi="Cambria Math"/>
            <w:lang w:val="en-US"/>
          </w:rPr>
          <m:t>=1,2,…,</m:t>
        </m:r>
        <m:r>
          <w:rPr>
            <w:rFonts w:ascii="Cambria Math" w:eastAsiaTheme="minorEastAsia" w:hAnsi="Cambria Math"/>
          </w:rPr>
          <m:t>N</m:t>
        </m:r>
      </m:oMath>
      <w:r w:rsidRPr="00044169">
        <w:rPr>
          <w:rFonts w:eastAsiaTheme="minorEastAsia"/>
          <w:lang w:val="en-US"/>
        </w:rPr>
        <w:t xml:space="preserve"> within signal bandwidth </w:t>
      </w:r>
      <m:oMath>
        <m:r>
          <w:rPr>
            <w:rFonts w:ascii="Cambria Math" w:eastAsiaTheme="minorEastAsia" w:hAnsi="Cambria Math"/>
          </w:rPr>
          <m:t>BW</m:t>
        </m:r>
      </m:oMath>
      <w:r w:rsidRPr="00044169">
        <w:rPr>
          <w:rFonts w:eastAsiaTheme="minorEastAsia"/>
          <w:lang w:val="en-US"/>
        </w:rPr>
        <w:t xml:space="preserve"> with sufficiently small step size, e.g. </w:t>
      </w:r>
      <m:oMath>
        <m:r>
          <w:rPr>
            <w:rFonts w:ascii="Cambria Math" w:eastAsiaTheme="minorEastAsia" w:hAnsi="Cambria Math"/>
            <w:lang w:val="en-US"/>
          </w:rPr>
          <m:t>∆</m:t>
        </m:r>
        <m:r>
          <w:rPr>
            <w:rFonts w:ascii="Cambria Math" w:eastAsiaTheme="minorEastAsia" w:hAnsi="Cambria Math"/>
          </w:rPr>
          <m:t>f</m:t>
        </m:r>
        <m:r>
          <w:rPr>
            <w:rFonts w:ascii="Cambria Math" w:eastAsiaTheme="minorEastAsia" w:hAnsi="Cambria Math"/>
            <w:lang w:val="en-US"/>
          </w:rPr>
          <m:t xml:space="preserve">=1 </m:t>
        </m:r>
        <m:r>
          <m:rPr>
            <m:nor/>
          </m:rPr>
          <w:rPr>
            <w:rFonts w:ascii="Cambria Math" w:eastAsiaTheme="minorEastAsia" w:hAnsi="Cambria Math"/>
            <w:lang w:val="en-US"/>
          </w:rPr>
          <m:t>MHz</m:t>
        </m:r>
      </m:oMath>
      <w:r w:rsidRPr="00044169">
        <w:rPr>
          <w:rFonts w:eastAsiaTheme="minorEastAsia"/>
          <w:lang w:val="en-US"/>
        </w:rPr>
        <w:t xml:space="preserve">, such as </w:t>
      </w:r>
      <m:oMath>
        <m:r>
          <w:rPr>
            <w:rFonts w:ascii="Cambria Math" w:eastAsiaTheme="minorEastAsia" w:hAnsi="Cambria Math"/>
          </w:rPr>
          <m:t>N</m:t>
        </m:r>
        <m:r>
          <w:rPr>
            <w:rFonts w:ascii="Cambria Math" w:eastAsiaTheme="minorEastAsia" w:hAnsi="Cambria Math"/>
            <w:lang w:val="en-US"/>
          </w:rPr>
          <m:t>∆</m:t>
        </m:r>
        <m:r>
          <w:rPr>
            <w:rFonts w:ascii="Cambria Math" w:eastAsiaTheme="minorEastAsia" w:hAnsi="Cambria Math"/>
          </w:rPr>
          <m:t>f</m:t>
        </m:r>
        <m:r>
          <w:rPr>
            <w:rFonts w:ascii="Cambria Math" w:eastAsiaTheme="minorEastAsia" w:hAnsi="Cambria Math"/>
            <w:lang w:val="en-US"/>
          </w:rPr>
          <m:t>=</m:t>
        </m:r>
        <m:r>
          <w:rPr>
            <w:rFonts w:ascii="Cambria Math" w:eastAsiaTheme="minorEastAsia" w:hAnsi="Cambria Math"/>
          </w:rPr>
          <m:t>BW</m:t>
        </m:r>
      </m:oMath>
      <w:r w:rsidRPr="00044169">
        <w:rPr>
          <w:rFonts w:eastAsiaTheme="minorEastAsia"/>
          <w:lang w:val="en-US"/>
        </w:rPr>
        <w:t>.</w:t>
      </w:r>
      <w:r w:rsidR="00D23A5E" w:rsidRPr="00044169">
        <w:rPr>
          <w:rFonts w:eastAsiaTheme="minorEastAsia"/>
          <w:lang w:val="en-US"/>
        </w:rPr>
        <w:t xml:space="preserve"> </w:t>
      </w:r>
      <m:oMath>
        <m:r>
          <w:rPr>
            <w:rFonts w:ascii="Cambria Math" w:eastAsiaTheme="minorEastAsia" w:hAnsi="Cambria Math"/>
          </w:rPr>
          <m:t>N</m:t>
        </m:r>
      </m:oMath>
      <w:r w:rsidR="00D23A5E" w:rsidRPr="00044169">
        <w:rPr>
          <w:rFonts w:eastAsiaTheme="minorEastAsia"/>
          <w:lang w:val="en-US"/>
        </w:rPr>
        <w:t xml:space="preserve"> shall be an odd number.</w:t>
      </w:r>
    </w:p>
    <w:p w14:paraId="531B05E2" w14:textId="2EA24884" w:rsidR="007A69DE" w:rsidRPr="00E943FB" w:rsidRDefault="007A69DE" w:rsidP="007A69DE">
      <w:pPr>
        <w:pStyle w:val="ListParagraph"/>
        <w:numPr>
          <w:ilvl w:val="0"/>
          <w:numId w:val="12"/>
        </w:numPr>
        <w:rPr>
          <w:lang w:val="en-US"/>
        </w:rPr>
      </w:pPr>
      <w:r w:rsidRPr="00E943FB">
        <w:rPr>
          <w:lang w:val="en-US"/>
        </w:rPr>
        <w:t xml:space="preserve">Calculate path loss value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EIS</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E943FB">
        <w:rPr>
          <w:lang w:val="en-US"/>
        </w:rPr>
        <w:t xml:space="preserve"> between the interfaces A and E for EIS measurement. Note that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EIS</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oMath>
      <w:r w:rsidRPr="00E943FB">
        <w:rPr>
          <w:lang w:val="en-US"/>
        </w:rPr>
        <w:t xml:space="preserve"> includes absolute level uncertainty of the signal generator which will be cancelled </w:t>
      </w:r>
      <w:r w:rsidR="00D23A5E">
        <w:rPr>
          <w:lang w:val="en-US"/>
        </w:rPr>
        <w:t xml:space="preserve">out </w:t>
      </w:r>
      <w:r w:rsidRPr="00E943FB">
        <w:rPr>
          <w:lang w:val="en-US"/>
        </w:rPr>
        <w:t>during EIS measurement.</w:t>
      </w:r>
      <w:r w:rsidRPr="00E943FB">
        <w:rPr>
          <w:lang w:val="en-US"/>
        </w:rPr>
        <w:br/>
      </w:r>
      <m:oMathPara>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EIS</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r>
            <w:rPr>
              <w:rFonts w:ascii="Cambria Math" w:eastAsiaTheme="minorEastAsia" w:hAnsi="Cambria Math"/>
              <w:lang w:val="en-US"/>
            </w:rPr>
            <m:t>=10</m:t>
          </m:r>
          <m:func>
            <m:funcPr>
              <m:ctrlPr>
                <w:rPr>
                  <w:rFonts w:ascii="Cambria Math" w:eastAsiaTheme="minorEastAsia" w:hAnsi="Cambria Math"/>
                  <w:i/>
                  <w:lang w:val="en-US"/>
                </w:rPr>
              </m:ctrlPr>
            </m:funcPr>
            <m:fName>
              <m:r>
                <m:rPr>
                  <m:sty m:val="p"/>
                </m:rPr>
                <w:rPr>
                  <w:rFonts w:ascii="Cambria Math" w:eastAsiaTheme="minorEastAsia" w:hAnsi="Cambria Math"/>
                  <w:lang w:val="en-US"/>
                </w:rPr>
                <m:t>log</m:t>
              </m:r>
            </m:fName>
            <m:e>
              <m:f>
                <m:fPr>
                  <m:ctrlPr>
                    <w:rPr>
                      <w:rFonts w:ascii="Cambria Math" w:eastAsiaTheme="minorEastAsia" w:hAnsi="Cambria Math"/>
                      <w:i/>
                      <w:lang w:val="en-US"/>
                    </w:rPr>
                  </m:ctrlPr>
                </m:fPr>
                <m:num>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out1</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sSub>
                    <m:sSubPr>
                      <m:ctrlPr>
                        <w:rPr>
                          <w:rFonts w:ascii="Cambria Math" w:eastAsiaTheme="minorEastAsia" w:hAnsi="Cambria Math"/>
                          <w:i/>
                          <w:lang w:val="en-US"/>
                        </w:rPr>
                      </m:ctrlPr>
                    </m:sSubPr>
                    <m:e>
                      <m:r>
                        <w:rPr>
                          <w:rFonts w:ascii="Cambria Math" w:eastAsiaTheme="minorEastAsia" w:hAnsi="Cambria Math"/>
                          <w:lang w:val="en-US"/>
                        </w:rPr>
                        <m:t>G</m:t>
                      </m:r>
                    </m:e>
                    <m:sub>
                      <m:r>
                        <w:rPr>
                          <w:rFonts w:ascii="Cambria Math" w:eastAsiaTheme="minorEastAsia" w:hAnsi="Cambria Math"/>
                          <w:lang w:val="en-US"/>
                        </w:rPr>
                        <m:t>REF</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num>
                <m:den>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den>
              </m:f>
            </m:e>
          </m:func>
          <m:r>
            <w:rPr>
              <w:rFonts w:ascii="Cambria Math" w:eastAsiaTheme="minorEastAsia" w:hAnsi="Cambria Math"/>
              <w:lang w:val="en-US"/>
            </w:rPr>
            <m:t xml:space="preserve"> </m:t>
          </m:r>
          <m:r>
            <m:rPr>
              <m:nor/>
            </m:rPr>
            <w:rPr>
              <w:rFonts w:ascii="Cambria Math" w:eastAsiaTheme="minorEastAsia" w:hAnsi="Cambria Math"/>
              <w:lang w:val="en-US"/>
            </w:rPr>
            <m:t>[dB]</m:t>
          </m:r>
        </m:oMath>
      </m:oMathPara>
    </w:p>
    <w:p w14:paraId="6CEAAA1C" w14:textId="15B63B4D" w:rsidR="00231DCF" w:rsidRPr="003E3000" w:rsidRDefault="009F7963" w:rsidP="00231DCF">
      <w:pPr>
        <w:pStyle w:val="Heading1"/>
        <w:rPr>
          <w:lang w:val="en-US"/>
        </w:rPr>
      </w:pPr>
      <w:r>
        <w:rPr>
          <w:lang w:val="en-US"/>
        </w:rPr>
        <w:t>EIRP</w:t>
      </w:r>
      <w:r w:rsidR="00231DCF" w:rsidRPr="003E3000">
        <w:rPr>
          <w:lang w:val="en-US"/>
        </w:rPr>
        <w:t xml:space="preserve"> Measurement</w:t>
      </w:r>
      <w:r>
        <w:rPr>
          <w:lang w:val="en-US"/>
        </w:rPr>
        <w:t>s</w:t>
      </w:r>
    </w:p>
    <w:p w14:paraId="1F080A3E" w14:textId="7B9511E8" w:rsidR="00231DCF" w:rsidRPr="00CD6800" w:rsidRDefault="009F7963" w:rsidP="006C16F1">
      <w:pPr>
        <w:rPr>
          <w:lang w:eastAsia="en-US"/>
        </w:rPr>
      </w:pPr>
      <w:r w:rsidRPr="00CD6800">
        <w:rPr>
          <w:lang w:eastAsia="en-US"/>
        </w:rPr>
        <w:t>The following procedure is to be used for EIRP measurements using the PWC:</w:t>
      </w:r>
    </w:p>
    <w:p w14:paraId="4A0B8CB5" w14:textId="7BEC9E33" w:rsidR="009F7963" w:rsidRDefault="009F7963" w:rsidP="009F7963">
      <w:pPr>
        <w:pStyle w:val="ListParagraph"/>
        <w:numPr>
          <w:ilvl w:val="0"/>
          <w:numId w:val="14"/>
        </w:numPr>
        <w:rPr>
          <w:lang w:val="en-US"/>
        </w:rPr>
      </w:pPr>
      <w:r w:rsidRPr="00CD6800">
        <w:rPr>
          <w:lang w:val="en-US"/>
        </w:rPr>
        <w:t xml:space="preserve">Install AAS BS as DUT with the manufacturer declared coordinate system reference point in the same place as the phase center of the reference antenna A as shown in </w:t>
      </w:r>
      <w:r w:rsidR="00CD6800" w:rsidRPr="00CD6800">
        <w:rPr>
          <w:lang w:val="en-US"/>
        </w:rPr>
        <w:t>figure 4-1</w:t>
      </w:r>
      <w:r w:rsidRPr="00CD6800">
        <w:rPr>
          <w:lang w:val="en-US"/>
        </w:rPr>
        <w:t>. The manufacturer declared coordinate system orientation of the AAS BS is set to be aligned with the testing system</w:t>
      </w:r>
      <w:r w:rsidR="00CD6800">
        <w:rPr>
          <w:lang w:val="en-US"/>
        </w:rPr>
        <w:t>.</w:t>
      </w:r>
    </w:p>
    <w:p w14:paraId="3F7DFD18" w14:textId="3950046D" w:rsidR="00CD6800" w:rsidRPr="00CD6800" w:rsidRDefault="00CD6800" w:rsidP="00CD6800">
      <w:pPr>
        <w:ind w:left="360"/>
        <w:jc w:val="center"/>
        <w:rPr>
          <w:noProof/>
          <w:lang w:eastAsia="en-US"/>
        </w:rPr>
      </w:pPr>
      <w:r w:rsidRPr="00CD6800">
        <w:rPr>
          <w:noProof/>
          <w:lang w:eastAsia="en-US"/>
        </w:rPr>
        <w:drawing>
          <wp:inline distT="0" distB="0" distL="0" distR="0" wp14:anchorId="2B59758E" wp14:editId="6A8D5A4D">
            <wp:extent cx="4888852"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p>
    <w:p w14:paraId="61CE93CD" w14:textId="409DD73C" w:rsidR="00CD6800" w:rsidRPr="00D97C66" w:rsidRDefault="00CD6800" w:rsidP="00CD6800">
      <w:pPr>
        <w:spacing w:before="60" w:after="0" w:line="240" w:lineRule="auto"/>
        <w:jc w:val="center"/>
        <w:rPr>
          <w:rFonts w:eastAsia="Calibri" w:cs="Times New Roman"/>
          <w:b/>
          <w:bCs/>
          <w:sz w:val="18"/>
          <w:szCs w:val="18"/>
          <w:highlight w:val="yellow"/>
          <w:lang w:eastAsia="en-US"/>
        </w:rPr>
      </w:pPr>
      <w:r w:rsidRPr="00D97C66">
        <w:rPr>
          <w:rFonts w:eastAsia="Calibri" w:cs="Times New Roman"/>
          <w:b/>
          <w:bCs/>
          <w:sz w:val="18"/>
          <w:szCs w:val="18"/>
          <w:lang w:eastAsia="en-US"/>
        </w:rPr>
        <w:t xml:space="preserve">Figure </w:t>
      </w:r>
      <w:r>
        <w:rPr>
          <w:rFonts w:eastAsia="Calibri" w:cs="Times New Roman"/>
          <w:b/>
          <w:bCs/>
          <w:sz w:val="18"/>
          <w:szCs w:val="18"/>
          <w:lang w:eastAsia="en-US"/>
        </w:rPr>
        <w:t>4-1</w:t>
      </w:r>
      <w:r w:rsidR="00482D73">
        <w:rPr>
          <w:rFonts w:eastAsia="Calibri" w:cs="Times New Roman"/>
          <w:b/>
          <w:bCs/>
          <w:sz w:val="18"/>
          <w:szCs w:val="18"/>
          <w:lang w:eastAsia="en-US"/>
        </w:rPr>
        <w:t>:</w:t>
      </w:r>
      <w:r w:rsidRPr="00D97C66">
        <w:rPr>
          <w:rFonts w:eastAsia="Calibri" w:cs="Times New Roman"/>
          <w:b/>
          <w:bCs/>
          <w:sz w:val="18"/>
          <w:szCs w:val="18"/>
          <w:lang w:eastAsia="en-US"/>
        </w:rPr>
        <w:t xml:space="preserve"> </w:t>
      </w:r>
      <w:r>
        <w:rPr>
          <w:rFonts w:eastAsia="Calibri" w:cs="Times New Roman"/>
          <w:b/>
          <w:bCs/>
          <w:sz w:val="18"/>
          <w:szCs w:val="18"/>
          <w:lang w:eastAsia="en-US"/>
        </w:rPr>
        <w:t>PWC setup for EIRP measurements</w:t>
      </w:r>
    </w:p>
    <w:p w14:paraId="360D77DC" w14:textId="77777777" w:rsidR="00CD6800" w:rsidRPr="00CD6800" w:rsidRDefault="00CD6800" w:rsidP="00CD6800">
      <w:pPr>
        <w:ind w:left="360"/>
        <w:jc w:val="center"/>
      </w:pPr>
    </w:p>
    <w:p w14:paraId="3821D119" w14:textId="77777777" w:rsidR="009F7963" w:rsidRPr="00CD6800" w:rsidRDefault="009F7963" w:rsidP="009F7963">
      <w:pPr>
        <w:pStyle w:val="ListParagraph"/>
        <w:numPr>
          <w:ilvl w:val="0"/>
          <w:numId w:val="14"/>
        </w:numPr>
        <w:rPr>
          <w:lang w:val="en-US"/>
        </w:rPr>
      </w:pPr>
      <w:r w:rsidRPr="00CD6800">
        <w:rPr>
          <w:lang w:val="en-US"/>
        </w:rPr>
        <w:t>Set the AAS BS to generate the tested beam with the appropriate test model with the beam peak direction intended to be the same as the testing direction.</w:t>
      </w:r>
    </w:p>
    <w:p w14:paraId="26029FCF" w14:textId="77777777" w:rsidR="009F7963" w:rsidRPr="00CD6800" w:rsidRDefault="009F7963" w:rsidP="00CD6800">
      <w:pPr>
        <w:pStyle w:val="ListParagraph"/>
        <w:numPr>
          <w:ilvl w:val="0"/>
          <w:numId w:val="14"/>
        </w:numPr>
        <w:rPr>
          <w:lang w:val="en-US"/>
        </w:rPr>
      </w:pPr>
      <w:r w:rsidRPr="00CD6800">
        <w:rPr>
          <w:rFonts w:eastAsia="Arial Unicode MS"/>
          <w:lang w:val="en-US"/>
        </w:rPr>
        <w:t xml:space="preserve">Measure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DUT</m:t>
            </m:r>
          </m:sub>
        </m:sSub>
      </m:oMath>
      <w:r w:rsidRPr="00CD6800">
        <w:rPr>
          <w:rFonts w:eastAsia="Arial Unicode MS"/>
          <w:lang w:val="en-US"/>
        </w:rPr>
        <w:t xml:space="preserve"> at the interface D which is the input of the measurement receiver.</w:t>
      </w:r>
    </w:p>
    <w:p w14:paraId="20DCE69F" w14:textId="74D2B6AE" w:rsidR="009F7963" w:rsidRPr="00CD6800" w:rsidRDefault="009F7963" w:rsidP="00CD6800">
      <w:pPr>
        <w:pStyle w:val="ListParagraph"/>
        <w:numPr>
          <w:ilvl w:val="0"/>
          <w:numId w:val="14"/>
        </w:numPr>
        <w:rPr>
          <w:lang w:val="en-US"/>
        </w:rPr>
      </w:pPr>
      <w:r w:rsidRPr="00CD6800">
        <w:rPr>
          <w:rFonts w:eastAsiaTheme="minorEastAsia"/>
          <w:lang w:val="en-US"/>
        </w:rPr>
        <w:t xml:space="preserve">Calculate EIRP value at the </w:t>
      </w:r>
      <w:r w:rsidRPr="00CD6800">
        <w:rPr>
          <w:lang w:val="en-US"/>
        </w:rPr>
        <w:t>beam peak direction of DUT</w:t>
      </w:r>
      <w:r w:rsidR="00CD6800">
        <w:rPr>
          <w:lang w:val="en-US"/>
        </w:rPr>
        <w:t>:</w:t>
      </w:r>
      <w:r w:rsidRPr="00CD6800">
        <w:rPr>
          <w:lang w:val="en-US"/>
        </w:rPr>
        <w:br/>
      </w:r>
      <m:oMathPara>
        <m:oMath>
          <m:r>
            <w:rPr>
              <w:rFonts w:ascii="Cambria Math" w:hAnsi="Cambria Math"/>
              <w:lang w:val="en-US"/>
            </w:rPr>
            <m:t>EIRP=10</m:t>
          </m:r>
          <m:func>
            <m:funcPr>
              <m:ctrlPr>
                <w:rPr>
                  <w:rFonts w:ascii="Cambria Math" w:hAnsi="Cambria Math"/>
                  <w:i/>
                  <w:lang w:val="en-US"/>
                </w:rPr>
              </m:ctrlPr>
            </m:funcPr>
            <m:fName>
              <m:r>
                <m:rPr>
                  <m:sty m:val="p"/>
                </m:rPr>
                <w:rPr>
                  <w:rFonts w:ascii="Cambria Math" w:hAnsi="Cambria Math"/>
                  <w:lang w:val="en-US"/>
                </w:rPr>
                <m:t>log</m:t>
              </m:r>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DUT</m:t>
                      </m:r>
                    </m:sub>
                  </m:sSub>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EIRP</m:t>
                      </m:r>
                    </m:sub>
                  </m:sSub>
                </m:e>
              </m:d>
            </m:e>
          </m:func>
          <m:r>
            <m:rPr>
              <m:nor/>
            </m:rPr>
            <w:rPr>
              <w:rFonts w:ascii="Cambria Math" w:eastAsiaTheme="minorEastAsia" w:hAnsi="Cambria Math"/>
              <w:lang w:val="en-US"/>
            </w:rPr>
            <m:t>[dB]</m:t>
          </m:r>
        </m:oMath>
      </m:oMathPara>
    </w:p>
    <w:p w14:paraId="12FF69C5" w14:textId="5EB54E2B" w:rsidR="00231DCF" w:rsidRPr="003E3000" w:rsidRDefault="00231DCF" w:rsidP="006C16F1">
      <w:pPr>
        <w:rPr>
          <w:lang w:eastAsia="en-US"/>
        </w:rPr>
      </w:pPr>
    </w:p>
    <w:p w14:paraId="7E9EBE38" w14:textId="133925CE" w:rsidR="00231DCF" w:rsidRPr="003E3000" w:rsidRDefault="00231DCF" w:rsidP="00231DCF">
      <w:pPr>
        <w:pStyle w:val="Heading1"/>
        <w:rPr>
          <w:lang w:val="en-US"/>
        </w:rPr>
      </w:pPr>
      <w:r w:rsidRPr="003E3000">
        <w:rPr>
          <w:lang w:val="en-US"/>
        </w:rPr>
        <w:t>EIS Measurement</w:t>
      </w:r>
    </w:p>
    <w:p w14:paraId="6C84C340" w14:textId="7B201B1A" w:rsidR="00231DCF" w:rsidRDefault="00CD6800" w:rsidP="006C16F1">
      <w:pPr>
        <w:rPr>
          <w:lang w:eastAsia="en-US"/>
        </w:rPr>
      </w:pPr>
      <w:r w:rsidRPr="00CD6800">
        <w:rPr>
          <w:lang w:eastAsia="en-US"/>
        </w:rPr>
        <w:t>The following procedure is to be used for EI</w:t>
      </w:r>
      <w:r>
        <w:rPr>
          <w:lang w:eastAsia="en-US"/>
        </w:rPr>
        <w:t>S</w:t>
      </w:r>
      <w:r w:rsidRPr="00CD6800">
        <w:rPr>
          <w:lang w:eastAsia="en-US"/>
        </w:rPr>
        <w:t xml:space="preserve"> measurements using the PWC</w:t>
      </w:r>
      <w:r>
        <w:rPr>
          <w:lang w:eastAsia="en-US"/>
        </w:rPr>
        <w:t>:</w:t>
      </w:r>
    </w:p>
    <w:p w14:paraId="71CEECBC" w14:textId="114411E0" w:rsidR="00CD6800" w:rsidRPr="00044169" w:rsidRDefault="00CD6800" w:rsidP="00CD6800">
      <w:pPr>
        <w:pStyle w:val="ListParagraph"/>
        <w:numPr>
          <w:ilvl w:val="0"/>
          <w:numId w:val="15"/>
        </w:numPr>
        <w:rPr>
          <w:lang w:val="en-US"/>
        </w:rPr>
      </w:pPr>
      <w:r w:rsidRPr="00044169">
        <w:rPr>
          <w:lang w:val="en-US"/>
        </w:rPr>
        <w:t>Install AAS BS as DUT with the manufacturer declared coordinate system reference point in the same place as the phase center of the reference antenna A as shown in figure 5-1. The manufacturer declared coordinate system orientation of the AAS BS is set to be aligned with the testing system.</w:t>
      </w:r>
    </w:p>
    <w:p w14:paraId="31E59D42" w14:textId="4400CDB3" w:rsidR="00CD6800" w:rsidRPr="00CD6800" w:rsidRDefault="00044169" w:rsidP="00CD6800">
      <w:pPr>
        <w:ind w:left="360"/>
        <w:jc w:val="center"/>
        <w:rPr>
          <w:noProof/>
          <w:lang w:eastAsia="en-US"/>
        </w:rPr>
      </w:pPr>
      <w:r>
        <w:rPr>
          <w:noProof/>
          <w:lang w:eastAsia="en-US"/>
        </w:rPr>
        <w:drawing>
          <wp:inline distT="0" distB="0" distL="0" distR="0" wp14:anchorId="1F4FF13C" wp14:editId="10FBE7D6">
            <wp:extent cx="4888854"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8854" cy="2160000"/>
                    </a:xfrm>
                    <a:prstGeom prst="rect">
                      <a:avLst/>
                    </a:prstGeom>
                    <a:noFill/>
                  </pic:spPr>
                </pic:pic>
              </a:graphicData>
            </a:graphic>
          </wp:inline>
        </w:drawing>
      </w:r>
    </w:p>
    <w:p w14:paraId="0B44F70E" w14:textId="7E094D9D" w:rsidR="00CD6800" w:rsidRDefault="00CD6800" w:rsidP="00CD6800">
      <w:pPr>
        <w:spacing w:before="60" w:after="0" w:line="240" w:lineRule="auto"/>
        <w:jc w:val="center"/>
        <w:rPr>
          <w:rFonts w:eastAsia="Calibri" w:cs="Times New Roman"/>
          <w:b/>
          <w:bCs/>
          <w:sz w:val="18"/>
          <w:szCs w:val="18"/>
          <w:lang w:eastAsia="en-US"/>
        </w:rPr>
      </w:pPr>
      <w:r w:rsidRPr="00D97C66">
        <w:rPr>
          <w:rFonts w:eastAsia="Calibri" w:cs="Times New Roman"/>
          <w:b/>
          <w:bCs/>
          <w:sz w:val="18"/>
          <w:szCs w:val="18"/>
          <w:lang w:eastAsia="en-US"/>
        </w:rPr>
        <w:t xml:space="preserve">Figure </w:t>
      </w:r>
      <w:r>
        <w:rPr>
          <w:rFonts w:eastAsia="Calibri" w:cs="Times New Roman"/>
          <w:b/>
          <w:bCs/>
          <w:sz w:val="18"/>
          <w:szCs w:val="18"/>
          <w:lang w:eastAsia="en-US"/>
        </w:rPr>
        <w:t>5-1</w:t>
      </w:r>
      <w:r w:rsidR="00482D73">
        <w:rPr>
          <w:rFonts w:eastAsia="Calibri" w:cs="Times New Roman"/>
          <w:b/>
          <w:bCs/>
          <w:sz w:val="18"/>
          <w:szCs w:val="18"/>
          <w:lang w:eastAsia="en-US"/>
        </w:rPr>
        <w:t>:</w:t>
      </w:r>
      <w:r w:rsidRPr="00D97C66">
        <w:rPr>
          <w:rFonts w:eastAsia="Calibri" w:cs="Times New Roman"/>
          <w:b/>
          <w:bCs/>
          <w:sz w:val="18"/>
          <w:szCs w:val="18"/>
          <w:lang w:eastAsia="en-US"/>
        </w:rPr>
        <w:t xml:space="preserve"> </w:t>
      </w:r>
      <w:r>
        <w:rPr>
          <w:rFonts w:eastAsia="Calibri" w:cs="Times New Roman"/>
          <w:b/>
          <w:bCs/>
          <w:sz w:val="18"/>
          <w:szCs w:val="18"/>
          <w:lang w:eastAsia="en-US"/>
        </w:rPr>
        <w:t>PWC setup for EI</w:t>
      </w:r>
      <w:r w:rsidR="00427DDB">
        <w:rPr>
          <w:rFonts w:eastAsia="Calibri" w:cs="Times New Roman"/>
          <w:b/>
          <w:bCs/>
          <w:sz w:val="18"/>
          <w:szCs w:val="18"/>
          <w:lang w:eastAsia="en-US"/>
        </w:rPr>
        <w:t>S</w:t>
      </w:r>
      <w:r>
        <w:rPr>
          <w:rFonts w:eastAsia="Calibri" w:cs="Times New Roman"/>
          <w:b/>
          <w:bCs/>
          <w:sz w:val="18"/>
          <w:szCs w:val="18"/>
          <w:lang w:eastAsia="en-US"/>
        </w:rPr>
        <w:t xml:space="preserve"> measurements</w:t>
      </w:r>
    </w:p>
    <w:p w14:paraId="65DFA364" w14:textId="05F19D6A" w:rsidR="00CD6800" w:rsidRPr="00D97C66" w:rsidRDefault="00CD6800" w:rsidP="00CD6800">
      <w:pPr>
        <w:spacing w:before="60" w:after="0" w:line="240" w:lineRule="auto"/>
        <w:jc w:val="center"/>
        <w:rPr>
          <w:rFonts w:eastAsia="Calibri" w:cs="Times New Roman"/>
          <w:b/>
          <w:bCs/>
          <w:sz w:val="18"/>
          <w:szCs w:val="18"/>
          <w:highlight w:val="yellow"/>
          <w:lang w:eastAsia="en-US"/>
        </w:rPr>
      </w:pPr>
    </w:p>
    <w:p w14:paraId="2A5CDE16" w14:textId="77777777" w:rsidR="00CD6800" w:rsidRPr="00044169" w:rsidRDefault="00CD6800" w:rsidP="00CD6800">
      <w:pPr>
        <w:pStyle w:val="ListParagraph"/>
        <w:numPr>
          <w:ilvl w:val="0"/>
          <w:numId w:val="15"/>
        </w:numPr>
        <w:rPr>
          <w:lang w:val="en-US"/>
        </w:rPr>
      </w:pPr>
      <w:r w:rsidRPr="00044169">
        <w:rPr>
          <w:lang w:val="en-US"/>
        </w:rPr>
        <w:t>Set the AAS BS to generate the tested beam with the appropriate test model with the beam peak direction intended to be the same as the testing direction.</w:t>
      </w:r>
    </w:p>
    <w:p w14:paraId="47C0BA26" w14:textId="2E6CDE7B" w:rsidR="00CD6800" w:rsidRPr="00044169" w:rsidRDefault="00CD6800" w:rsidP="00CD6800">
      <w:pPr>
        <w:pStyle w:val="ListParagraph"/>
        <w:numPr>
          <w:ilvl w:val="0"/>
          <w:numId w:val="15"/>
        </w:numPr>
        <w:rPr>
          <w:lang w:val="en-US"/>
        </w:rPr>
      </w:pPr>
      <w:r w:rsidRPr="00044169">
        <w:rPr>
          <w:rFonts w:eastAsiaTheme="minorEastAsia"/>
          <w:lang w:val="en-US"/>
        </w:rPr>
        <w:t xml:space="preserve">Reduce output power </w:t>
      </w:r>
      <m:oMath>
        <m:sSub>
          <m:sSubPr>
            <m:ctrlPr>
              <w:rPr>
                <w:rFonts w:ascii="Cambria Math" w:hAnsi="Cambria Math"/>
                <w:i/>
              </w:rPr>
            </m:ctrlPr>
          </m:sSubPr>
          <m:e>
            <m:r>
              <w:rPr>
                <w:rFonts w:ascii="Cambria Math" w:hAnsi="Cambria Math"/>
              </w:rPr>
              <m:t>P</m:t>
            </m:r>
          </m:e>
          <m:sub>
            <m:r>
              <w:rPr>
                <w:rFonts w:ascii="Cambria Math" w:hAnsi="Cambria Math"/>
              </w:rPr>
              <m:t>out2</m:t>
            </m:r>
          </m:sub>
        </m:sSub>
      </m:oMath>
      <w:r w:rsidRPr="00044169">
        <w:rPr>
          <w:rFonts w:eastAsiaTheme="minorEastAsia"/>
          <w:lang w:val="en-US"/>
        </w:rPr>
        <w:t xml:space="preserve"> at the interface E which is the output of the signal generator until sensitivity threshold will be reported by DUT.</w:t>
      </w:r>
    </w:p>
    <w:p w14:paraId="47B21A92" w14:textId="6517C468" w:rsidR="00CD6800" w:rsidRPr="00044169" w:rsidRDefault="00CD6800" w:rsidP="00CD6800">
      <w:pPr>
        <w:pStyle w:val="ListParagraph"/>
        <w:numPr>
          <w:ilvl w:val="0"/>
          <w:numId w:val="15"/>
        </w:numPr>
        <w:rPr>
          <w:lang w:val="en-US"/>
        </w:rPr>
      </w:pPr>
      <w:r w:rsidRPr="00044169">
        <w:rPr>
          <w:rFonts w:eastAsiaTheme="minorEastAsia"/>
          <w:lang w:val="en-US"/>
        </w:rPr>
        <w:t xml:space="preserve">Calculate EIS value at the </w:t>
      </w:r>
      <w:r w:rsidRPr="00044169">
        <w:rPr>
          <w:lang w:val="en-US"/>
        </w:rPr>
        <w:t>beam peak direction of DUT:</w:t>
      </w:r>
      <w:r w:rsidRPr="00044169">
        <w:rPr>
          <w:lang w:val="en-US"/>
        </w:rPr>
        <w:br/>
      </w:r>
      <m:oMathPara>
        <m:oMath>
          <m:r>
            <w:rPr>
              <w:rFonts w:ascii="Cambria Math" w:hAnsi="Cambria Math"/>
            </w:rPr>
            <m:t>EIS</m:t>
          </m:r>
          <m:r>
            <w:rPr>
              <w:rFonts w:ascii="Cambria Math" w:hAnsi="Cambria Math"/>
              <w:lang w:val="en-US"/>
            </w:rPr>
            <m:t>=10</m:t>
          </m:r>
          <m:func>
            <m:funcPr>
              <m:ctrlPr>
                <w:rPr>
                  <w:rFonts w:ascii="Cambria Math" w:hAnsi="Cambria Math"/>
                  <w:i/>
                </w:rPr>
              </m:ctrlPr>
            </m:funcPr>
            <m:fName>
              <m:r>
                <m:rPr>
                  <m:sty m:val="p"/>
                </m:rPr>
                <w:rPr>
                  <w:rFonts w:ascii="Cambria Math" w:hAnsi="Cambria Math"/>
                  <w:lang w:val="en-US"/>
                </w:rPr>
                <m:t>log</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out2</m:t>
                          </m:r>
                        </m:sub>
                      </m:sSub>
                    </m:num>
                    <m:den>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EIS</m:t>
                          </m:r>
                        </m:sub>
                      </m:sSub>
                    </m:den>
                  </m:f>
                </m:e>
              </m:d>
            </m:e>
          </m:func>
          <m:r>
            <w:rPr>
              <w:rFonts w:ascii="Cambria Math" w:eastAsiaTheme="minorEastAsia" w:hAnsi="Cambria Math"/>
              <w:lang w:val="en-US"/>
            </w:rPr>
            <m:t xml:space="preserve"> </m:t>
          </m:r>
          <m:r>
            <m:rPr>
              <m:nor/>
            </m:rPr>
            <w:rPr>
              <w:rFonts w:ascii="Cambria Math" w:eastAsiaTheme="minorEastAsia" w:hAnsi="Cambria Math"/>
              <w:lang w:val="en-US"/>
            </w:rPr>
            <m:t>[dB]</m:t>
          </m:r>
        </m:oMath>
      </m:oMathPara>
    </w:p>
    <w:p w14:paraId="72FDD352" w14:textId="77777777" w:rsidR="009F7963" w:rsidRPr="003E3000" w:rsidRDefault="009F7963" w:rsidP="006C16F1">
      <w:pPr>
        <w:rPr>
          <w:lang w:eastAsia="en-US"/>
        </w:rPr>
      </w:pPr>
    </w:p>
    <w:p w14:paraId="2303DFE5" w14:textId="418AD58F" w:rsidR="00231DCF" w:rsidRPr="003E3000" w:rsidRDefault="00231DCF" w:rsidP="00231DCF">
      <w:pPr>
        <w:pStyle w:val="Heading1"/>
        <w:rPr>
          <w:lang w:val="en-US"/>
        </w:rPr>
      </w:pPr>
      <w:r w:rsidRPr="003E3000">
        <w:rPr>
          <w:lang w:val="en-US"/>
        </w:rPr>
        <w:t>Conclusion</w:t>
      </w:r>
    </w:p>
    <w:p w14:paraId="4B45E8ED" w14:textId="12766748" w:rsidR="00231DCF" w:rsidRPr="009F7963" w:rsidRDefault="009F7963" w:rsidP="009F7963">
      <w:pPr>
        <w:jc w:val="both"/>
        <w:rPr>
          <w:lang w:eastAsia="en-US"/>
        </w:rPr>
      </w:pPr>
      <w:r>
        <w:rPr>
          <w:lang w:eastAsia="en-US"/>
        </w:rPr>
        <w:t>In this contribution, in addition to</w:t>
      </w:r>
      <w:r w:rsidR="00C56DEE">
        <w:rPr>
          <w:lang w:eastAsia="en-US"/>
        </w:rPr>
        <w:t xml:space="preserve"> </w:t>
      </w:r>
      <w:r w:rsidR="00C56DEE">
        <w:rPr>
          <w:lang w:eastAsia="en-US"/>
        </w:rPr>
        <w:fldChar w:fldCharType="begin"/>
      </w:r>
      <w:r w:rsidR="00C56DEE">
        <w:rPr>
          <w:lang w:eastAsia="en-US"/>
        </w:rPr>
        <w:instrText xml:space="preserve"> REF _Ref16672116 \r \h </w:instrText>
      </w:r>
      <w:r w:rsidR="00C56DEE">
        <w:rPr>
          <w:lang w:eastAsia="en-US"/>
        </w:rPr>
      </w:r>
      <w:r w:rsidR="00C56DEE">
        <w:rPr>
          <w:lang w:eastAsia="en-US"/>
        </w:rPr>
        <w:fldChar w:fldCharType="separate"/>
      </w:r>
      <w:r w:rsidR="00C56DEE">
        <w:rPr>
          <w:lang w:eastAsia="en-US"/>
        </w:rPr>
        <w:t>[1]</w:t>
      </w:r>
      <w:r w:rsidR="00C56DEE">
        <w:rPr>
          <w:lang w:eastAsia="en-US"/>
        </w:rPr>
        <w:fldChar w:fldCharType="end"/>
      </w:r>
      <w:r>
        <w:rPr>
          <w:lang w:eastAsia="en-US"/>
        </w:rPr>
        <w:t xml:space="preserve">, an extensive description of the calibration and measurement procedures for the </w:t>
      </w:r>
      <w:r w:rsidRPr="009F7963">
        <w:rPr>
          <w:lang w:eastAsia="en-US"/>
        </w:rPr>
        <w:t>2D Compact Range</w:t>
      </w:r>
      <w:r>
        <w:rPr>
          <w:lang w:eastAsia="en-US"/>
        </w:rPr>
        <w:t xml:space="preserve"> has been provided. It is proposed to consider the plane wave converter as an </w:t>
      </w:r>
      <w:r w:rsidRPr="009F7963">
        <w:rPr>
          <w:lang w:eastAsia="en-US"/>
        </w:rPr>
        <w:t>over the air method for measurement of radiated parameters of active antenna basestations</w:t>
      </w:r>
      <w:r>
        <w:rPr>
          <w:lang w:eastAsia="en-US"/>
        </w:rPr>
        <w:t>.</w:t>
      </w:r>
    </w:p>
    <w:p w14:paraId="1E0BA748" w14:textId="60AB067E" w:rsidR="009F7963" w:rsidRPr="009F7963" w:rsidRDefault="009F7963" w:rsidP="009F7963">
      <w:pPr>
        <w:rPr>
          <w:b/>
          <w:lang w:eastAsia="en-US"/>
        </w:rPr>
      </w:pPr>
      <w:r w:rsidRPr="009F7963">
        <w:rPr>
          <w:b/>
          <w:lang w:eastAsia="en-US"/>
        </w:rPr>
        <w:t>Proposal: consider the plane wave converter as an over the air method for measurement of radiated parameters of active antenna basestations</w:t>
      </w:r>
      <w:r>
        <w:rPr>
          <w:b/>
          <w:lang w:eastAsia="en-US"/>
        </w:rPr>
        <w:t>.</w:t>
      </w:r>
    </w:p>
    <w:p w14:paraId="3FC19F45" w14:textId="6DA5AAAB" w:rsidR="006C16F1" w:rsidRPr="003E3000" w:rsidRDefault="006C16F1" w:rsidP="006C16F1">
      <w:pPr>
        <w:pStyle w:val="Heading1"/>
        <w:rPr>
          <w:lang w:val="en-US"/>
        </w:rPr>
      </w:pPr>
      <w:r w:rsidRPr="003E3000">
        <w:rPr>
          <w:lang w:val="en-US"/>
        </w:rPr>
        <w:t>References</w:t>
      </w:r>
    </w:p>
    <w:p w14:paraId="595A2B6B" w14:textId="10D0874A" w:rsidR="006C16F1" w:rsidRPr="003E3000" w:rsidRDefault="006C16F1" w:rsidP="006C16F1">
      <w:pPr>
        <w:pStyle w:val="ListParagraph"/>
        <w:numPr>
          <w:ilvl w:val="0"/>
          <w:numId w:val="4"/>
        </w:numPr>
        <w:spacing w:after="0" w:line="240" w:lineRule="auto"/>
        <w:rPr>
          <w:lang w:val="en-US"/>
        </w:rPr>
      </w:pPr>
      <w:bookmarkStart w:id="3" w:name="_Ref16672116"/>
      <w:r w:rsidRPr="003E3000">
        <w:rPr>
          <w:lang w:val="en-US"/>
        </w:rPr>
        <w:t xml:space="preserve">R4-1806605, “2D Compact Range for Testing of AAS Basestations”, </w:t>
      </w:r>
      <w:r w:rsidRPr="003E3000">
        <w:rPr>
          <w:rFonts w:cs="Arial"/>
          <w:lang w:val="en-US"/>
        </w:rPr>
        <w:t>Rohde &amp; Schwarz</w:t>
      </w:r>
      <w:r w:rsidRPr="003E3000">
        <w:rPr>
          <w:lang w:val="en-US"/>
        </w:rPr>
        <w:t xml:space="preserve">, </w:t>
      </w:r>
      <w:r w:rsidRPr="003E3000">
        <w:rPr>
          <w:rFonts w:cs="Arial"/>
          <w:lang w:val="en-US"/>
        </w:rPr>
        <w:t>RAN4#87, May 2018</w:t>
      </w:r>
      <w:bookmarkEnd w:id="3"/>
    </w:p>
    <w:p w14:paraId="2AE2DE80" w14:textId="2EF7B6A7" w:rsidR="00FC0201" w:rsidRPr="00C56DEE" w:rsidRDefault="00FC0201" w:rsidP="006C16F1">
      <w:pPr>
        <w:pStyle w:val="ListParagraph"/>
        <w:numPr>
          <w:ilvl w:val="0"/>
          <w:numId w:val="4"/>
        </w:numPr>
        <w:spacing w:after="0" w:line="240" w:lineRule="auto"/>
        <w:rPr>
          <w:lang w:val="en-US"/>
        </w:rPr>
      </w:pPr>
      <w:bookmarkStart w:id="4" w:name="_Ref16672129"/>
      <w:r w:rsidRPr="00C56DEE">
        <w:rPr>
          <w:lang w:val="en-US"/>
        </w:rPr>
        <w:t>R4-190</w:t>
      </w:r>
      <w:r w:rsidR="00C56DEE" w:rsidRPr="00C56DEE">
        <w:rPr>
          <w:lang w:val="en-US"/>
        </w:rPr>
        <w:t>7993</w:t>
      </w:r>
      <w:r w:rsidRPr="00C56DEE">
        <w:rPr>
          <w:lang w:val="en-US"/>
        </w:rPr>
        <w:t xml:space="preserve">, “2D Compact Range for BS Testing – MU Budget analysis”, </w:t>
      </w:r>
      <w:r w:rsidRPr="00C56DEE">
        <w:rPr>
          <w:rFonts w:cs="Arial"/>
          <w:lang w:val="en-US"/>
        </w:rPr>
        <w:t>Rohde &amp; Schwarz</w:t>
      </w:r>
      <w:r w:rsidRPr="00C56DEE">
        <w:rPr>
          <w:lang w:val="en-US"/>
        </w:rPr>
        <w:t xml:space="preserve">, </w:t>
      </w:r>
      <w:r w:rsidRPr="00C56DEE">
        <w:rPr>
          <w:rFonts w:cs="Arial"/>
          <w:lang w:val="en-US"/>
        </w:rPr>
        <w:t>RAN4#92, August 2019</w:t>
      </w:r>
      <w:bookmarkEnd w:id="4"/>
    </w:p>
    <w:p w14:paraId="7B2516F8" w14:textId="676D2A1F" w:rsidR="00FC0201" w:rsidRPr="00DC5F1E" w:rsidRDefault="00FC0201" w:rsidP="00DC5F1E">
      <w:pPr>
        <w:pStyle w:val="ListParagraph"/>
        <w:numPr>
          <w:ilvl w:val="0"/>
          <w:numId w:val="4"/>
        </w:numPr>
        <w:spacing w:after="0" w:line="240" w:lineRule="auto"/>
        <w:rPr>
          <w:lang w:val="en-US"/>
        </w:rPr>
      </w:pPr>
      <w:r w:rsidRPr="00DC5F1E">
        <w:rPr>
          <w:lang w:val="en-US"/>
        </w:rPr>
        <w:t>R4-190</w:t>
      </w:r>
      <w:r w:rsidR="00DC5F1E" w:rsidRPr="00DC5F1E">
        <w:rPr>
          <w:lang w:val="en-US"/>
        </w:rPr>
        <w:t>8987</w:t>
      </w:r>
      <w:r w:rsidRPr="00DC5F1E">
        <w:rPr>
          <w:lang w:val="en-US"/>
        </w:rPr>
        <w:t>, “</w:t>
      </w:r>
      <w:r w:rsidR="00DC5F1E" w:rsidRPr="00DC5F1E">
        <w:rPr>
          <w:lang w:val="en-US"/>
        </w:rPr>
        <w:t>CR to TR 37.843: Addition of 2D Compact Range. MU, calibration and test procedure for EIRP and EIS</w:t>
      </w:r>
      <w:r w:rsidRPr="00DC5F1E">
        <w:rPr>
          <w:lang w:val="en-US"/>
        </w:rPr>
        <w:t xml:space="preserve">”,  </w:t>
      </w:r>
      <w:r w:rsidRPr="00DC5F1E">
        <w:rPr>
          <w:rFonts w:cs="Arial"/>
          <w:lang w:val="en-US"/>
        </w:rPr>
        <w:t>Rohde &amp; Schwarz</w:t>
      </w:r>
      <w:r w:rsidRPr="00DC5F1E">
        <w:rPr>
          <w:lang w:val="en-US"/>
        </w:rPr>
        <w:t xml:space="preserve">, </w:t>
      </w:r>
      <w:r w:rsidRPr="00DC5F1E">
        <w:rPr>
          <w:rFonts w:cs="Arial"/>
          <w:lang w:val="en-US"/>
        </w:rPr>
        <w:t>RAN4#92, August 2019</w:t>
      </w:r>
    </w:p>
    <w:p w14:paraId="245FB77E" w14:textId="0A083573" w:rsidR="006C16F1" w:rsidRDefault="006C16F1" w:rsidP="006C16F1">
      <w:pPr>
        <w:pStyle w:val="ListParagraph"/>
        <w:numPr>
          <w:ilvl w:val="0"/>
          <w:numId w:val="4"/>
        </w:numPr>
        <w:spacing w:after="0" w:line="240" w:lineRule="auto"/>
        <w:rPr>
          <w:lang w:val="en-US"/>
        </w:rPr>
      </w:pPr>
      <w:r w:rsidRPr="003E3000">
        <w:rPr>
          <w:lang w:val="en-US"/>
        </w:rPr>
        <w:t>3GPP TR 37.843: “Radio Frequency (RF) requirement background for Active Antenna System (AAS) Base Station (BS) radiated requirements”</w:t>
      </w:r>
    </w:p>
    <w:p w14:paraId="77F73B0A" w14:textId="67574DEC" w:rsidR="00A73396" w:rsidRDefault="00A73396" w:rsidP="00A73396">
      <w:pPr>
        <w:pStyle w:val="ListParagraph"/>
        <w:numPr>
          <w:ilvl w:val="0"/>
          <w:numId w:val="4"/>
        </w:numPr>
        <w:spacing w:after="0" w:line="240" w:lineRule="auto"/>
        <w:rPr>
          <w:lang w:val="en-US"/>
        </w:rPr>
      </w:pPr>
      <w:r>
        <w:rPr>
          <w:lang w:val="en-US"/>
        </w:rPr>
        <w:t>3GPP TR 37.842: “</w:t>
      </w:r>
      <w:r w:rsidRPr="00A73396">
        <w:rPr>
          <w:lang w:val="en-US"/>
        </w:rPr>
        <w:t>Radio Frequency (RF) requirement background for Active Antenna System (AAS) Base Station (BS)</w:t>
      </w:r>
      <w:r>
        <w:rPr>
          <w:lang w:val="en-US"/>
        </w:rPr>
        <w:t>”.</w:t>
      </w:r>
    </w:p>
    <w:p w14:paraId="49C015BE" w14:textId="377965C5" w:rsidR="003E3000" w:rsidRPr="003E3000" w:rsidRDefault="003E3000" w:rsidP="00CD6800">
      <w:pPr>
        <w:pStyle w:val="ListParagraph"/>
        <w:numPr>
          <w:ilvl w:val="0"/>
          <w:numId w:val="4"/>
        </w:numPr>
        <w:spacing w:after="0" w:line="240" w:lineRule="auto"/>
        <w:rPr>
          <w:lang w:val="en-US"/>
        </w:rPr>
      </w:pPr>
      <w:bookmarkStart w:id="5" w:name="_Ref16672157"/>
      <w:r w:rsidRPr="003E3000">
        <w:rPr>
          <w:lang w:val="en-US"/>
        </w:rPr>
        <w:t>CTIA Test Plan for Wireless Device Over-the-Air Performance</w:t>
      </w:r>
      <w:r>
        <w:rPr>
          <w:lang w:val="en-US"/>
        </w:rPr>
        <w:t>, v3.8.2</w:t>
      </w:r>
      <w:bookmarkEnd w:id="5"/>
    </w:p>
    <w:p w14:paraId="410C8139" w14:textId="684B8074" w:rsidR="006C16F1" w:rsidRPr="003E3000" w:rsidRDefault="006C16F1" w:rsidP="006C16F1">
      <w:pPr>
        <w:pStyle w:val="ListParagraph"/>
        <w:numPr>
          <w:ilvl w:val="0"/>
          <w:numId w:val="4"/>
        </w:numPr>
        <w:spacing w:after="0" w:line="240" w:lineRule="auto"/>
        <w:rPr>
          <w:lang w:val="en-US"/>
        </w:rPr>
      </w:pPr>
      <w:r w:rsidRPr="003E3000">
        <w:rPr>
          <w:lang w:val="en-US"/>
        </w:rPr>
        <w:t xml:space="preserve">O. M. Bucci, M. D. Migliore, G. Panariello and D. Pinchera; </w:t>
      </w:r>
      <w:r w:rsidR="00FC0201" w:rsidRPr="003E3000">
        <w:rPr>
          <w:lang w:val="en-US"/>
        </w:rPr>
        <w:t>“</w:t>
      </w:r>
      <w:r w:rsidRPr="003E3000">
        <w:rPr>
          <w:lang w:val="en-US"/>
        </w:rPr>
        <w:t>Plane-Wave Generators:  Design  Guidelines,  Achievable  Performances  and  Effective Synthesis</w:t>
      </w:r>
      <w:r w:rsidR="00FC0201" w:rsidRPr="003E3000">
        <w:rPr>
          <w:lang w:val="en-US"/>
        </w:rPr>
        <w:t>”</w:t>
      </w:r>
      <w:r w:rsidRPr="003E3000">
        <w:rPr>
          <w:lang w:val="en-US"/>
        </w:rPr>
        <w:t>; IEEE Transactions on Antennas and Propagation,  April 2013</w:t>
      </w:r>
    </w:p>
    <w:p w14:paraId="17C64EBC" w14:textId="3AB961CC" w:rsidR="006C16F1" w:rsidRPr="003E3000" w:rsidRDefault="006C16F1" w:rsidP="006C16F1">
      <w:pPr>
        <w:pStyle w:val="ListParagraph"/>
        <w:numPr>
          <w:ilvl w:val="0"/>
          <w:numId w:val="4"/>
        </w:numPr>
        <w:spacing w:after="0" w:line="240" w:lineRule="auto"/>
        <w:rPr>
          <w:lang w:val="en-US"/>
        </w:rPr>
      </w:pPr>
      <w:r w:rsidRPr="003E3000">
        <w:rPr>
          <w:lang w:val="en-US"/>
        </w:rPr>
        <w:t xml:space="preserve">R.  Haupt,  </w:t>
      </w:r>
      <w:r w:rsidR="00FC0201" w:rsidRPr="003E3000">
        <w:rPr>
          <w:lang w:val="en-US"/>
        </w:rPr>
        <w:t>“</w:t>
      </w:r>
      <w:r w:rsidRPr="003E3000">
        <w:rPr>
          <w:lang w:val="en-US"/>
        </w:rPr>
        <w:t>Generating  a  Plane  Wave  in  the  Near  Field  with  a  Planar Array Antenna</w:t>
      </w:r>
      <w:r w:rsidR="00FC0201" w:rsidRPr="003E3000">
        <w:rPr>
          <w:lang w:val="en-US"/>
        </w:rPr>
        <w:t>”</w:t>
      </w:r>
      <w:r w:rsidRPr="003E3000">
        <w:rPr>
          <w:lang w:val="en-US"/>
        </w:rPr>
        <w:t>, Microwave Journal, September 2003</w:t>
      </w:r>
    </w:p>
    <w:p w14:paraId="2DC752C5" w14:textId="77777777" w:rsidR="006C16F1" w:rsidRPr="003E3000" w:rsidRDefault="006C16F1" w:rsidP="006C16F1">
      <w:pPr>
        <w:pStyle w:val="ListParagraph"/>
        <w:numPr>
          <w:ilvl w:val="0"/>
          <w:numId w:val="4"/>
        </w:numPr>
        <w:spacing w:after="0" w:line="240" w:lineRule="auto"/>
        <w:rPr>
          <w:lang w:val="en-US"/>
        </w:rPr>
      </w:pPr>
      <w:r w:rsidRPr="003E3000">
        <w:rPr>
          <w:lang w:val="en-US"/>
        </w:rPr>
        <w:t>C. Rowell, A. Tankielun, “Plane Wave Converter for 5G Massive MIMO Basestation Measurements”, the 12th European Conference on Antennas and Propagation (EuCAP2018), London, UK, 9 - 13 April, 2018</w:t>
      </w:r>
    </w:p>
    <w:p w14:paraId="2456987B" w14:textId="60B64F32" w:rsidR="00FA477A" w:rsidRPr="003E3000" w:rsidRDefault="006C16F1" w:rsidP="006C16F1">
      <w:pPr>
        <w:pStyle w:val="ListParagraph"/>
        <w:numPr>
          <w:ilvl w:val="0"/>
          <w:numId w:val="4"/>
        </w:numPr>
        <w:spacing w:after="0" w:line="240" w:lineRule="auto"/>
        <w:rPr>
          <w:lang w:val="en-US"/>
        </w:rPr>
      </w:pPr>
      <w:r w:rsidRPr="003E3000">
        <w:rPr>
          <w:lang w:val="en-US"/>
        </w:rPr>
        <w:t>B. Derat, “Creating Far-field Condition at a Tenth of Far-field Distance: An Innovative Technique for 5G OTA measurement”, Electronic Design Innovation Conference (EDICON), Beijing, China, 20 – 22 March, 2018</w:t>
      </w:r>
      <w:bookmarkEnd w:id="1"/>
      <w:bookmarkEnd w:id="2"/>
    </w:p>
    <w:sectPr w:rsidR="00FA477A" w:rsidRPr="003E3000" w:rsidSect="003838EA">
      <w:footerReference w:type="defaul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7F731" w14:textId="77777777" w:rsidR="002C1223" w:rsidRDefault="002C1223" w:rsidP="00371D7D">
      <w:r>
        <w:separator/>
      </w:r>
    </w:p>
  </w:endnote>
  <w:endnote w:type="continuationSeparator" w:id="0">
    <w:p w14:paraId="50C65A19" w14:textId="77777777" w:rsidR="002C1223" w:rsidRDefault="002C122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0141596A" w:rsidR="00CD6800" w:rsidRPr="000E7B1E" w:rsidRDefault="00CD6800" w:rsidP="00D81F96">
    <w:pPr>
      <w:pStyle w:val="Footer"/>
    </w:pPr>
    <w:r>
      <w:rPr>
        <w:noProof w:val="0"/>
      </w:rPr>
      <w:t xml:space="preserve">Page </w:t>
    </w:r>
    <w:r>
      <w:fldChar w:fldCharType="begin"/>
    </w:r>
    <w:r>
      <w:instrText xml:space="preserve"> PAGE   \* MERGEFORMAT </w:instrText>
    </w:r>
    <w:r>
      <w:fldChar w:fldCharType="separate"/>
    </w:r>
    <w:r w:rsidR="00DC5F1E">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AFBA4" w14:textId="77777777" w:rsidR="002C1223" w:rsidRDefault="002C1223" w:rsidP="00371D7D">
      <w:r>
        <w:separator/>
      </w:r>
    </w:p>
  </w:footnote>
  <w:footnote w:type="continuationSeparator" w:id="0">
    <w:p w14:paraId="19C7F294" w14:textId="77777777" w:rsidR="002C1223" w:rsidRDefault="002C1223"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7"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12"/>
  </w:num>
  <w:num w:numId="3">
    <w:abstractNumId w:val="1"/>
  </w:num>
  <w:num w:numId="4">
    <w:abstractNumId w:val="3"/>
  </w:num>
  <w:num w:numId="5">
    <w:abstractNumId w:val="9"/>
  </w:num>
  <w:num w:numId="6">
    <w:abstractNumId w:val="5"/>
  </w:num>
  <w:num w:numId="7">
    <w:abstractNumId w:val="10"/>
  </w:num>
  <w:num w:numId="8">
    <w:abstractNumId w:val="6"/>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4"/>
  </w:num>
  <w:num w:numId="10">
    <w:abstractNumId w:val="1"/>
  </w:num>
  <w:num w:numId="11">
    <w:abstractNumId w:val="7"/>
  </w:num>
  <w:num w:numId="12">
    <w:abstractNumId w:val="2"/>
  </w:num>
  <w:num w:numId="13">
    <w:abstractNumId w:val="8"/>
  </w:num>
  <w:num w:numId="14">
    <w:abstractNumId w:val="1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4169"/>
    <w:rsid w:val="00044187"/>
    <w:rsid w:val="0004547C"/>
    <w:rsid w:val="00047428"/>
    <w:rsid w:val="00047E75"/>
    <w:rsid w:val="0006221F"/>
    <w:rsid w:val="00063C4D"/>
    <w:rsid w:val="000652BE"/>
    <w:rsid w:val="0006555A"/>
    <w:rsid w:val="00065B4E"/>
    <w:rsid w:val="00072CF5"/>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262C"/>
    <w:rsid w:val="000A2FB0"/>
    <w:rsid w:val="000A3642"/>
    <w:rsid w:val="000A6628"/>
    <w:rsid w:val="000B0F54"/>
    <w:rsid w:val="000B2981"/>
    <w:rsid w:val="000B3006"/>
    <w:rsid w:val="000B3739"/>
    <w:rsid w:val="000B663A"/>
    <w:rsid w:val="000B7597"/>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792C"/>
    <w:rsid w:val="00107C63"/>
    <w:rsid w:val="00110B13"/>
    <w:rsid w:val="001114C1"/>
    <w:rsid w:val="00112164"/>
    <w:rsid w:val="001137DA"/>
    <w:rsid w:val="0011436A"/>
    <w:rsid w:val="001147B0"/>
    <w:rsid w:val="00114995"/>
    <w:rsid w:val="00115455"/>
    <w:rsid w:val="00116DFF"/>
    <w:rsid w:val="001178F0"/>
    <w:rsid w:val="00117F9C"/>
    <w:rsid w:val="00123745"/>
    <w:rsid w:val="00125591"/>
    <w:rsid w:val="00126CE6"/>
    <w:rsid w:val="00126F41"/>
    <w:rsid w:val="00126F62"/>
    <w:rsid w:val="00132BDD"/>
    <w:rsid w:val="001339FF"/>
    <w:rsid w:val="001378A7"/>
    <w:rsid w:val="0015068F"/>
    <w:rsid w:val="001526E5"/>
    <w:rsid w:val="001530C0"/>
    <w:rsid w:val="00153604"/>
    <w:rsid w:val="001553DE"/>
    <w:rsid w:val="0015692F"/>
    <w:rsid w:val="001617AA"/>
    <w:rsid w:val="0016379A"/>
    <w:rsid w:val="00164040"/>
    <w:rsid w:val="00167CAD"/>
    <w:rsid w:val="00167FB4"/>
    <w:rsid w:val="00170838"/>
    <w:rsid w:val="0017275D"/>
    <w:rsid w:val="00172D17"/>
    <w:rsid w:val="00173AFB"/>
    <w:rsid w:val="001747B0"/>
    <w:rsid w:val="00174ED5"/>
    <w:rsid w:val="00176658"/>
    <w:rsid w:val="00176791"/>
    <w:rsid w:val="00180379"/>
    <w:rsid w:val="00180494"/>
    <w:rsid w:val="001810A2"/>
    <w:rsid w:val="00184003"/>
    <w:rsid w:val="00193A32"/>
    <w:rsid w:val="001944C6"/>
    <w:rsid w:val="001A042A"/>
    <w:rsid w:val="001A2E0D"/>
    <w:rsid w:val="001B0670"/>
    <w:rsid w:val="001B0742"/>
    <w:rsid w:val="001B137F"/>
    <w:rsid w:val="001B2191"/>
    <w:rsid w:val="001C0304"/>
    <w:rsid w:val="001C0307"/>
    <w:rsid w:val="001C0EA6"/>
    <w:rsid w:val="001C1D01"/>
    <w:rsid w:val="001C2408"/>
    <w:rsid w:val="001C4E17"/>
    <w:rsid w:val="001C59C6"/>
    <w:rsid w:val="001C6A9C"/>
    <w:rsid w:val="001C766E"/>
    <w:rsid w:val="001D1D1A"/>
    <w:rsid w:val="001D27CE"/>
    <w:rsid w:val="001D369F"/>
    <w:rsid w:val="001D5A32"/>
    <w:rsid w:val="001D78E4"/>
    <w:rsid w:val="001E0014"/>
    <w:rsid w:val="001E0A0B"/>
    <w:rsid w:val="001E190C"/>
    <w:rsid w:val="001E540B"/>
    <w:rsid w:val="001E5776"/>
    <w:rsid w:val="001E6E32"/>
    <w:rsid w:val="001E73BE"/>
    <w:rsid w:val="001E7B76"/>
    <w:rsid w:val="001F0673"/>
    <w:rsid w:val="001F20DA"/>
    <w:rsid w:val="001F4112"/>
    <w:rsid w:val="001F4E39"/>
    <w:rsid w:val="001F506E"/>
    <w:rsid w:val="001F5452"/>
    <w:rsid w:val="001F6CC0"/>
    <w:rsid w:val="00206F1C"/>
    <w:rsid w:val="002101B8"/>
    <w:rsid w:val="00210BB9"/>
    <w:rsid w:val="002119D0"/>
    <w:rsid w:val="00211B0D"/>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A1D"/>
    <w:rsid w:val="0024490F"/>
    <w:rsid w:val="0024790C"/>
    <w:rsid w:val="0025085A"/>
    <w:rsid w:val="00250903"/>
    <w:rsid w:val="00251FDB"/>
    <w:rsid w:val="00252AE0"/>
    <w:rsid w:val="002548E2"/>
    <w:rsid w:val="00255A8A"/>
    <w:rsid w:val="00257251"/>
    <w:rsid w:val="002634DB"/>
    <w:rsid w:val="0026652B"/>
    <w:rsid w:val="002674A8"/>
    <w:rsid w:val="002700B4"/>
    <w:rsid w:val="0027049D"/>
    <w:rsid w:val="002759B6"/>
    <w:rsid w:val="00276F00"/>
    <w:rsid w:val="00281F3F"/>
    <w:rsid w:val="00282191"/>
    <w:rsid w:val="002822E5"/>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134F"/>
    <w:rsid w:val="002A1CE7"/>
    <w:rsid w:val="002A2AB2"/>
    <w:rsid w:val="002A2FEC"/>
    <w:rsid w:val="002A6297"/>
    <w:rsid w:val="002A659B"/>
    <w:rsid w:val="002B1072"/>
    <w:rsid w:val="002B111A"/>
    <w:rsid w:val="002B3C4B"/>
    <w:rsid w:val="002B5523"/>
    <w:rsid w:val="002B5708"/>
    <w:rsid w:val="002B5F65"/>
    <w:rsid w:val="002B7900"/>
    <w:rsid w:val="002C098B"/>
    <w:rsid w:val="002C1223"/>
    <w:rsid w:val="002C3A4F"/>
    <w:rsid w:val="002C48E9"/>
    <w:rsid w:val="002C709D"/>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F9F"/>
    <w:rsid w:val="00316256"/>
    <w:rsid w:val="00316376"/>
    <w:rsid w:val="00316F3F"/>
    <w:rsid w:val="003200D8"/>
    <w:rsid w:val="00320422"/>
    <w:rsid w:val="00325E32"/>
    <w:rsid w:val="0032672D"/>
    <w:rsid w:val="003300C3"/>
    <w:rsid w:val="00330686"/>
    <w:rsid w:val="003321C2"/>
    <w:rsid w:val="00332D69"/>
    <w:rsid w:val="003344C4"/>
    <w:rsid w:val="00334F04"/>
    <w:rsid w:val="003359BD"/>
    <w:rsid w:val="0033631F"/>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A144C"/>
    <w:rsid w:val="003A16D1"/>
    <w:rsid w:val="003A1D27"/>
    <w:rsid w:val="003A575F"/>
    <w:rsid w:val="003A7774"/>
    <w:rsid w:val="003B0595"/>
    <w:rsid w:val="003B0EF9"/>
    <w:rsid w:val="003B1E3D"/>
    <w:rsid w:val="003B4147"/>
    <w:rsid w:val="003B4C4E"/>
    <w:rsid w:val="003B5223"/>
    <w:rsid w:val="003B5543"/>
    <w:rsid w:val="003B6518"/>
    <w:rsid w:val="003B7288"/>
    <w:rsid w:val="003C1CA1"/>
    <w:rsid w:val="003C3D66"/>
    <w:rsid w:val="003C4DDA"/>
    <w:rsid w:val="003C5B3F"/>
    <w:rsid w:val="003D0E5C"/>
    <w:rsid w:val="003D51E6"/>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D63"/>
    <w:rsid w:val="00423201"/>
    <w:rsid w:val="004257E2"/>
    <w:rsid w:val="00427DDB"/>
    <w:rsid w:val="0043036D"/>
    <w:rsid w:val="004324FB"/>
    <w:rsid w:val="004325A5"/>
    <w:rsid w:val="004340EB"/>
    <w:rsid w:val="00434839"/>
    <w:rsid w:val="004372AD"/>
    <w:rsid w:val="00442027"/>
    <w:rsid w:val="00445AC3"/>
    <w:rsid w:val="00445FD4"/>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7362"/>
    <w:rsid w:val="00477BB8"/>
    <w:rsid w:val="00480E62"/>
    <w:rsid w:val="004812E1"/>
    <w:rsid w:val="00481B3C"/>
    <w:rsid w:val="00482D73"/>
    <w:rsid w:val="004858E1"/>
    <w:rsid w:val="0048673D"/>
    <w:rsid w:val="00487FC3"/>
    <w:rsid w:val="00491A62"/>
    <w:rsid w:val="00492977"/>
    <w:rsid w:val="0049310F"/>
    <w:rsid w:val="0049394D"/>
    <w:rsid w:val="00493E67"/>
    <w:rsid w:val="00493FA6"/>
    <w:rsid w:val="0049417A"/>
    <w:rsid w:val="00495D57"/>
    <w:rsid w:val="004A04A5"/>
    <w:rsid w:val="004A2F58"/>
    <w:rsid w:val="004A3115"/>
    <w:rsid w:val="004A3D93"/>
    <w:rsid w:val="004A4033"/>
    <w:rsid w:val="004A5815"/>
    <w:rsid w:val="004A60F7"/>
    <w:rsid w:val="004A79DF"/>
    <w:rsid w:val="004B0619"/>
    <w:rsid w:val="004B0EE9"/>
    <w:rsid w:val="004B4C96"/>
    <w:rsid w:val="004C0EA3"/>
    <w:rsid w:val="004C6EB0"/>
    <w:rsid w:val="004D2783"/>
    <w:rsid w:val="004D2DCF"/>
    <w:rsid w:val="004D54FF"/>
    <w:rsid w:val="004D74F3"/>
    <w:rsid w:val="004E1C4C"/>
    <w:rsid w:val="004E1ED2"/>
    <w:rsid w:val="004E2925"/>
    <w:rsid w:val="004E3358"/>
    <w:rsid w:val="004E3BCC"/>
    <w:rsid w:val="004E4907"/>
    <w:rsid w:val="004F0412"/>
    <w:rsid w:val="004F17EE"/>
    <w:rsid w:val="004F21A5"/>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70F1"/>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4178"/>
    <w:rsid w:val="00656DEA"/>
    <w:rsid w:val="0066196E"/>
    <w:rsid w:val="00664F1A"/>
    <w:rsid w:val="00667A9C"/>
    <w:rsid w:val="00674D96"/>
    <w:rsid w:val="00675624"/>
    <w:rsid w:val="00677DE2"/>
    <w:rsid w:val="00680FDD"/>
    <w:rsid w:val="00682781"/>
    <w:rsid w:val="0068305A"/>
    <w:rsid w:val="00683E9D"/>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2743"/>
    <w:rsid w:val="006B41BC"/>
    <w:rsid w:val="006B42F9"/>
    <w:rsid w:val="006B508B"/>
    <w:rsid w:val="006B7575"/>
    <w:rsid w:val="006C049B"/>
    <w:rsid w:val="006C1445"/>
    <w:rsid w:val="006C16F1"/>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D7D"/>
    <w:rsid w:val="00761AED"/>
    <w:rsid w:val="007636DE"/>
    <w:rsid w:val="00765F55"/>
    <w:rsid w:val="007706D0"/>
    <w:rsid w:val="00773BDA"/>
    <w:rsid w:val="00773C96"/>
    <w:rsid w:val="00773DCA"/>
    <w:rsid w:val="007742E7"/>
    <w:rsid w:val="007744CF"/>
    <w:rsid w:val="00776D6B"/>
    <w:rsid w:val="007827F7"/>
    <w:rsid w:val="007842C7"/>
    <w:rsid w:val="00787AFB"/>
    <w:rsid w:val="007927C1"/>
    <w:rsid w:val="00793EA4"/>
    <w:rsid w:val="007944C3"/>
    <w:rsid w:val="00797969"/>
    <w:rsid w:val="007A422E"/>
    <w:rsid w:val="007A68E2"/>
    <w:rsid w:val="007A69DE"/>
    <w:rsid w:val="007A7270"/>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632A"/>
    <w:rsid w:val="007E144D"/>
    <w:rsid w:val="007E1A21"/>
    <w:rsid w:val="007E29DD"/>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F18"/>
    <w:rsid w:val="00887996"/>
    <w:rsid w:val="008919FA"/>
    <w:rsid w:val="00894205"/>
    <w:rsid w:val="008948CA"/>
    <w:rsid w:val="008966F6"/>
    <w:rsid w:val="008A4135"/>
    <w:rsid w:val="008A4ACE"/>
    <w:rsid w:val="008A4F4D"/>
    <w:rsid w:val="008A520C"/>
    <w:rsid w:val="008A5259"/>
    <w:rsid w:val="008B0514"/>
    <w:rsid w:val="008B12D0"/>
    <w:rsid w:val="008B3E44"/>
    <w:rsid w:val="008B4257"/>
    <w:rsid w:val="008B6859"/>
    <w:rsid w:val="008B7827"/>
    <w:rsid w:val="008B7853"/>
    <w:rsid w:val="008C142D"/>
    <w:rsid w:val="008C1DA5"/>
    <w:rsid w:val="008C2395"/>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689"/>
    <w:rsid w:val="008F7FE8"/>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309E"/>
    <w:rsid w:val="009657E8"/>
    <w:rsid w:val="00965D58"/>
    <w:rsid w:val="00966E9B"/>
    <w:rsid w:val="0097392B"/>
    <w:rsid w:val="00974B95"/>
    <w:rsid w:val="009750F0"/>
    <w:rsid w:val="0097543A"/>
    <w:rsid w:val="00975F20"/>
    <w:rsid w:val="00976B03"/>
    <w:rsid w:val="00984C8B"/>
    <w:rsid w:val="009863CE"/>
    <w:rsid w:val="0098722B"/>
    <w:rsid w:val="00987740"/>
    <w:rsid w:val="00987C1F"/>
    <w:rsid w:val="009926B6"/>
    <w:rsid w:val="0099496E"/>
    <w:rsid w:val="00997680"/>
    <w:rsid w:val="00997704"/>
    <w:rsid w:val="009A1270"/>
    <w:rsid w:val="009A525D"/>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167"/>
    <w:rsid w:val="00A62362"/>
    <w:rsid w:val="00A63A28"/>
    <w:rsid w:val="00A64C86"/>
    <w:rsid w:val="00A67985"/>
    <w:rsid w:val="00A6798F"/>
    <w:rsid w:val="00A7325E"/>
    <w:rsid w:val="00A73396"/>
    <w:rsid w:val="00A76DBE"/>
    <w:rsid w:val="00A777EC"/>
    <w:rsid w:val="00A80346"/>
    <w:rsid w:val="00A8311E"/>
    <w:rsid w:val="00A86604"/>
    <w:rsid w:val="00A87C7B"/>
    <w:rsid w:val="00A938DE"/>
    <w:rsid w:val="00A95090"/>
    <w:rsid w:val="00A9514D"/>
    <w:rsid w:val="00A96690"/>
    <w:rsid w:val="00A97BF8"/>
    <w:rsid w:val="00AA04CC"/>
    <w:rsid w:val="00AA0D07"/>
    <w:rsid w:val="00AA0F9B"/>
    <w:rsid w:val="00AA1DE0"/>
    <w:rsid w:val="00AA3AF8"/>
    <w:rsid w:val="00AA66CB"/>
    <w:rsid w:val="00AA7167"/>
    <w:rsid w:val="00AB034A"/>
    <w:rsid w:val="00AB0D1B"/>
    <w:rsid w:val="00AB16E7"/>
    <w:rsid w:val="00AB263D"/>
    <w:rsid w:val="00AB2BBC"/>
    <w:rsid w:val="00AB3CDD"/>
    <w:rsid w:val="00AB4ACC"/>
    <w:rsid w:val="00AB537D"/>
    <w:rsid w:val="00AB5616"/>
    <w:rsid w:val="00AB5D07"/>
    <w:rsid w:val="00AB7EB0"/>
    <w:rsid w:val="00AC4279"/>
    <w:rsid w:val="00AC51D3"/>
    <w:rsid w:val="00AC5870"/>
    <w:rsid w:val="00AC78CA"/>
    <w:rsid w:val="00AC7A82"/>
    <w:rsid w:val="00AD1373"/>
    <w:rsid w:val="00AD1FA2"/>
    <w:rsid w:val="00AD2B85"/>
    <w:rsid w:val="00AE0DAA"/>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E29DD"/>
    <w:rsid w:val="00BE5364"/>
    <w:rsid w:val="00BF1935"/>
    <w:rsid w:val="00BF268B"/>
    <w:rsid w:val="00BF525D"/>
    <w:rsid w:val="00BF7A2F"/>
    <w:rsid w:val="00C0043D"/>
    <w:rsid w:val="00C006B0"/>
    <w:rsid w:val="00C0127E"/>
    <w:rsid w:val="00C02E85"/>
    <w:rsid w:val="00C04CEB"/>
    <w:rsid w:val="00C074A2"/>
    <w:rsid w:val="00C112CE"/>
    <w:rsid w:val="00C142E1"/>
    <w:rsid w:val="00C14F5D"/>
    <w:rsid w:val="00C17F16"/>
    <w:rsid w:val="00C22CBC"/>
    <w:rsid w:val="00C24153"/>
    <w:rsid w:val="00C25111"/>
    <w:rsid w:val="00C253B8"/>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685B"/>
    <w:rsid w:val="00C47016"/>
    <w:rsid w:val="00C47386"/>
    <w:rsid w:val="00C478DD"/>
    <w:rsid w:val="00C52094"/>
    <w:rsid w:val="00C520BF"/>
    <w:rsid w:val="00C53222"/>
    <w:rsid w:val="00C56860"/>
    <w:rsid w:val="00C56DEE"/>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4DFB"/>
    <w:rsid w:val="00C85BD3"/>
    <w:rsid w:val="00C85E97"/>
    <w:rsid w:val="00C92436"/>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800"/>
    <w:rsid w:val="00CD6B1A"/>
    <w:rsid w:val="00CE0D0F"/>
    <w:rsid w:val="00CE2567"/>
    <w:rsid w:val="00CE6A12"/>
    <w:rsid w:val="00CE7B33"/>
    <w:rsid w:val="00CE7B75"/>
    <w:rsid w:val="00CF23C9"/>
    <w:rsid w:val="00CF3ECE"/>
    <w:rsid w:val="00CF41D2"/>
    <w:rsid w:val="00D0035A"/>
    <w:rsid w:val="00D00B3C"/>
    <w:rsid w:val="00D04FCA"/>
    <w:rsid w:val="00D05BE4"/>
    <w:rsid w:val="00D071B9"/>
    <w:rsid w:val="00D121AD"/>
    <w:rsid w:val="00D132ED"/>
    <w:rsid w:val="00D15EF0"/>
    <w:rsid w:val="00D171EC"/>
    <w:rsid w:val="00D1738E"/>
    <w:rsid w:val="00D176E5"/>
    <w:rsid w:val="00D20074"/>
    <w:rsid w:val="00D204DC"/>
    <w:rsid w:val="00D23A0A"/>
    <w:rsid w:val="00D23A5E"/>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1E"/>
    <w:rsid w:val="00DC5FBC"/>
    <w:rsid w:val="00DC755B"/>
    <w:rsid w:val="00DD1B9D"/>
    <w:rsid w:val="00DD44FC"/>
    <w:rsid w:val="00DD6E41"/>
    <w:rsid w:val="00DD74FF"/>
    <w:rsid w:val="00DE1186"/>
    <w:rsid w:val="00DE15CD"/>
    <w:rsid w:val="00DE3025"/>
    <w:rsid w:val="00DE4417"/>
    <w:rsid w:val="00DE4E25"/>
    <w:rsid w:val="00DE6819"/>
    <w:rsid w:val="00DF19E8"/>
    <w:rsid w:val="00DF308F"/>
    <w:rsid w:val="00DF59DA"/>
    <w:rsid w:val="00E03811"/>
    <w:rsid w:val="00E03F84"/>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19B"/>
    <w:rsid w:val="00E37E67"/>
    <w:rsid w:val="00E4048A"/>
    <w:rsid w:val="00E408CF"/>
    <w:rsid w:val="00E41569"/>
    <w:rsid w:val="00E41929"/>
    <w:rsid w:val="00E42128"/>
    <w:rsid w:val="00E45AA7"/>
    <w:rsid w:val="00E50120"/>
    <w:rsid w:val="00E508B3"/>
    <w:rsid w:val="00E51BAD"/>
    <w:rsid w:val="00E52D1B"/>
    <w:rsid w:val="00E53B9F"/>
    <w:rsid w:val="00E5457D"/>
    <w:rsid w:val="00E617F3"/>
    <w:rsid w:val="00E61903"/>
    <w:rsid w:val="00E61E2F"/>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3FB"/>
    <w:rsid w:val="00E94563"/>
    <w:rsid w:val="00E960CD"/>
    <w:rsid w:val="00E971E7"/>
    <w:rsid w:val="00E9771D"/>
    <w:rsid w:val="00EA3129"/>
    <w:rsid w:val="00EA33A5"/>
    <w:rsid w:val="00EA4D76"/>
    <w:rsid w:val="00EA5264"/>
    <w:rsid w:val="00EB05C0"/>
    <w:rsid w:val="00EB0E5D"/>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560B"/>
    <w:rsid w:val="00F012A7"/>
    <w:rsid w:val="00F02B93"/>
    <w:rsid w:val="00F0327E"/>
    <w:rsid w:val="00F03F67"/>
    <w:rsid w:val="00F06974"/>
    <w:rsid w:val="00F07012"/>
    <w:rsid w:val="00F0740A"/>
    <w:rsid w:val="00F11FC2"/>
    <w:rsid w:val="00F12AF0"/>
    <w:rsid w:val="00F12BF1"/>
    <w:rsid w:val="00F222B3"/>
    <w:rsid w:val="00F23075"/>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1B0D"/>
    <w:rsid w:val="00F836B8"/>
    <w:rsid w:val="00F85F78"/>
    <w:rsid w:val="00F86B37"/>
    <w:rsid w:val="00F90336"/>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59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ND3YPHQTDDEW-1543181176-70</_dlc_DocId>
    <_dlc_DocIdUrl xmlns="05fef6b6-48ff-4793-a586-dff4857ec2fd">
      <Url>https://sharepoint.rsint.net/teams/1S_Dev/_layouts/15/DocIdRedir.aspx?ID=ND3YPHQTDDEW-1543181176-70</Url>
      <Description>ND3YPHQTDDEW-1543181176-70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2B21-B59C-4F95-A0C7-A422FBFA90D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5fef6b6-48ff-4793-a586-dff4857ec2f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4.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5.xml><?xml version="1.0" encoding="utf-8"?>
<ds:datastoreItem xmlns:ds="http://schemas.openxmlformats.org/officeDocument/2006/customXml" ds:itemID="{9FFE7353-F4E1-4BD5-8973-85522735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2019-08-13T13:23:00Z</dcterms:created>
  <dcterms:modified xsi:type="dcterms:W3CDTF">2019-08-16T10:13:00Z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d60ef95c-0191-408c-9dda-86e3c7025601</vt:lpwstr>
  </property>
</Properties>
</file>